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png" ContentType="image/png"/>
  <Override PartName="/word/media/rId139.png" ContentType="image/png"/>
  <Override PartName="/word/media/rId143.png" ContentType="image/png"/>
  <Override PartName="/word/media/rId160.png" ContentType="image/png"/>
  <Override PartName="/word/media/rId47.png" ContentType="image/png"/>
  <Override PartName="/word/media/rId51.png" ContentType="image/png"/>
  <Override PartName="/word/media/rId65.png" ContentType="image/png"/>
  <Override PartName="/word/media/rId75.png" ContentType="image/png"/>
  <Override PartName="/word/media/rId86.png" ContentType="image/png"/>
  <Override PartName="/word/media/rId107.png" ContentType="image/png"/>
  <Override PartName="/word/media/rId110.png" ContentType="image/png"/>
  <Override PartName="/word/media/rId12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Compiled</w:t>
      </w:r>
      <w:r>
        <w:t xml:space="preserve"> </w:t>
      </w:r>
      <w:r>
        <w:t xml:space="preserve">Once.</w:t>
      </w:r>
      <w:r>
        <w:t xml:space="preserve"> </w:t>
      </w:r>
      <w:r>
        <w:t xml:space="preserve">Published</w:t>
      </w:r>
      <w:r>
        <w:t xml:space="preserve"> </w:t>
      </w:r>
      <w:r>
        <w:t xml:space="preserve">Once.</w:t>
      </w:r>
      <w:r>
        <w:t xml:space="preserve"> </w:t>
      </w:r>
      <w:r>
        <w:t xml:space="preserve">Mounted</w:t>
      </w:r>
      <w:r>
        <w:t xml:space="preserve"> </w:t>
      </w:r>
      <w:r>
        <w:t xml:space="preserve">Everywhere.</w:t>
      </w:r>
    </w:p>
    <w:p>
      <w:pPr>
        <w:pStyle w:val="Subtitle"/>
      </w:pPr>
      <w:r>
        <w:t xml:space="preserve">How</w:t>
      </w:r>
      <w:r>
        <w:t xml:space="preserve"> </w:t>
      </w:r>
      <w:r>
        <w:t xml:space="preserve">scientific</w:t>
      </w:r>
      <w:r>
        <w:t xml:space="preserve"> </w:t>
      </w:r>
      <w:r>
        <w:t xml:space="preserve">software</w:t>
      </w:r>
      <w:r>
        <w:t xml:space="preserve"> </w:t>
      </w:r>
      <w:r>
        <w:t xml:space="preserve">actually</w:t>
      </w:r>
      <w:r>
        <w:t xml:space="preserve"> </w:t>
      </w:r>
      <w:r>
        <w:t xml:space="preserve">reaches</w:t>
      </w:r>
      <w:r>
        <w:t xml:space="preserve"> </w:t>
      </w:r>
      <w:r>
        <w:t xml:space="preserve">the</w:t>
      </w:r>
      <w:r>
        <w:t xml:space="preserve"> </w:t>
      </w:r>
      <w:r>
        <w:t xml:space="preserve">machines</w:t>
      </w:r>
      <w:r>
        <w:t xml:space="preserve"> </w:t>
      </w:r>
      <w:r>
        <w:t xml:space="preserve">that</w:t>
      </w:r>
      <w:r>
        <w:t xml:space="preserve"> </w:t>
      </w:r>
      <w:r>
        <w:t xml:space="preserve">run</w:t>
      </w:r>
      <w:r>
        <w:t xml:space="preserve"> </w:t>
      </w:r>
      <w:r>
        <w:t xml:space="preserve">it</w:t>
      </w:r>
      <w:r>
        <w:t xml:space="preserve"> </w:t>
      </w:r>
      <w:r>
        <w:t xml:space="preserve">-</w:t>
      </w:r>
      <w:r>
        <w:t xml:space="preserve"> </w:t>
      </w:r>
      <w:r>
        <w:t xml:space="preserve">CernVM-FS,</w:t>
      </w:r>
      <w:r>
        <w:t xml:space="preserve"> </w:t>
      </w:r>
      <w:r>
        <w:t xml:space="preserve">the</w:t>
      </w:r>
      <w:r>
        <w:t xml:space="preserve"> </w:t>
      </w:r>
      <w:r>
        <w:t xml:space="preserve">Compute</w:t>
      </w:r>
      <w:r>
        <w:t xml:space="preserve"> </w:t>
      </w:r>
      <w:r>
        <w:t xml:space="preserve">Canada</w:t>
      </w:r>
      <w:r>
        <w:t xml:space="preserve"> </w:t>
      </w:r>
      <w:r>
        <w:t xml:space="preserve">model,</w:t>
      </w:r>
      <w:r>
        <w:t xml:space="preserve"> </w:t>
      </w:r>
      <w:r>
        <w:t xml:space="preserve">and</w:t>
      </w:r>
      <w:r>
        <w:t xml:space="preserve"> </w:t>
      </w:r>
      <w:r>
        <w:t xml:space="preserve">EESSI.</w:t>
      </w:r>
    </w:p>
    <w:p>
      <w:pPr>
        <w:pStyle w:val="Date"/>
      </w:pPr>
      <w:r>
        <w:t xml:space="preserve">2026-08-08</w:t>
      </w:r>
    </w:p>
    <w:p>
      <w:pPr>
        <w:pStyle w:val="FirstParagraph"/>
      </w:pPr>
      <w:r>
        <w:rPr>
          <w:b/>
          <w:bCs/>
        </w:rPr>
        <w:t xml:space="preserve">Abstract.</w:t>
      </w:r>
      <w:r>
        <w:t xml:space="preserve"> </w:t>
      </w:r>
      <w:r>
        <w:t xml:space="preserve">Almost every research computing estate installs the same</w:t>
      </w:r>
      <w:r>
        <w:t xml:space="preserve"> </w:t>
      </w:r>
      <w:r>
        <w:t xml:space="preserve">scientific software more than once, in more than one place, to more than one</w:t>
      </w:r>
      <w:r>
        <w:t xml:space="preserve"> </w:t>
      </w:r>
      <w:r>
        <w:t xml:space="preserve">result. This brief walks the three production systems that answer that problem</w:t>
      </w:r>
      <w:r>
        <w:t xml:space="preserve"> </w:t>
      </w:r>
      <w:r>
        <w:t xml:space="preserve">properly:</w:t>
      </w:r>
      <w:r>
        <w:t xml:space="preserve"> </w:t>
      </w:r>
      <w:r>
        <w:rPr>
          <w:b/>
          <w:bCs/>
        </w:rPr>
        <w:t xml:space="preserve">CernVM-FS</w:t>
      </w:r>
      <w:r>
        <w:t xml:space="preserve">, the read-only streaming filesystem built at CERN to give</w:t>
      </w:r>
      <w:r>
        <w:t xml:space="preserve"> </w:t>
      </w:r>
      <w:r>
        <w:t xml:space="preserve">the worldwide LHC computing grid one software tree; the</w:t>
      </w:r>
      <w:r>
        <w:t xml:space="preserve"> </w:t>
      </w:r>
      <w:r>
        <w:rPr>
          <w:b/>
          <w:bCs/>
        </w:rPr>
        <w:t xml:space="preserve">Compute Canada /</w:t>
      </w:r>
      <w:r>
        <w:rPr>
          <w:b/>
          <w:bCs/>
        </w:rPr>
        <w:t xml:space="preserve"> </w:t>
      </w:r>
      <w:r>
        <w:rPr>
          <w:b/>
          <w:bCs/>
        </w:rPr>
        <w:t xml:space="preserve">Digital Research Alliance of Canada</w:t>
      </w:r>
      <w:r>
        <w:t xml:space="preserve"> </w:t>
      </w:r>
      <w:r>
        <w:t xml:space="preserve">stack, which has served every national</w:t>
      </w:r>
      <w:r>
        <w:t xml:space="preserve"> </w:t>
      </w:r>
      <w:r>
        <w:t xml:space="preserve">research system in Canada from one catalogue since 2017; and</w:t>
      </w:r>
      <w:r>
        <w:t xml:space="preserve"> </w:t>
      </w:r>
      <w:r>
        <w:rPr>
          <w:b/>
          <w:bCs/>
        </w:rPr>
        <w:t xml:space="preserve">EESSI</w:t>
      </w:r>
      <w:r>
        <w:t xml:space="preserve">, the</w:t>
      </w:r>
      <w:r>
        <w:t xml:space="preserve"> </w:t>
      </w:r>
      <w:r>
        <w:t xml:space="preserve">European project built on the same four-layer architecture and extended to</w:t>
      </w:r>
      <w:r>
        <w:t xml:space="preserve"> </w:t>
      </w:r>
      <w:r>
        <w:t xml:space="preserve">hardware the original never targeted. It covers what each layer does and why it</w:t>
      </w:r>
      <w:r>
        <w:t xml:space="preserve"> </w:t>
      </w:r>
      <w:r>
        <w:t xml:space="preserve">is there, the toolchain the two stacks share - Gentoo Prefix, EasyBuild, Lmod,</w:t>
      </w:r>
      <w:r>
        <w:t xml:space="preserve"> </w:t>
      </w:r>
      <w:r>
        <w:t xml:space="preserve">archspec - what it costs to operate, and where it stops. Every non-obvious claim</w:t>
      </w:r>
      <w:r>
        <w:t xml:space="preserve"> </w:t>
      </w:r>
      <w:r>
        <w:t xml:space="preserve">carries a numbered citation; section 15 is the bibliography, and nothing is</w:t>
      </w:r>
      <w:r>
        <w:t xml:space="preserve"> </w:t>
      </w:r>
      <w:r>
        <w:t xml:space="preserve">asserted here that is not in it. The live version of this brief, with the same</w:t>
      </w:r>
      <w:r>
        <w:t xml:space="preserve"> </w:t>
      </w:r>
      <w:r>
        <w:t xml:space="preserve">figures, is at</w:t>
      </w:r>
      <w:r>
        <w:t xml:space="preserve"> </w:t>
      </w:r>
      <w:hyperlink r:id="rId20">
        <w:r>
          <w:rPr>
            <w:rStyle w:val="Hyperlink"/>
          </w:rPr>
          <w:t xml:space="preserve">https://what.ndexr.io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  <w:i/>
          <w:iCs/>
        </w:rPr>
        <w:t xml:space="preserve">Part I - The problem nobody funds.</w:t>
      </w:r>
      <w:r>
        <w:t xml:space="preserve"> </w:t>
      </w:r>
      <w:r>
        <w:rPr>
          <w:i/>
          <w:iCs/>
        </w:rPr>
        <w:t xml:space="preserve">Installing scientific software is not</w:t>
      </w:r>
      <w:r>
        <w:rPr>
          <w:i/>
          <w:iCs/>
        </w:rPr>
        <w:t xml:space="preserve"> </w:t>
      </w:r>
      <w:r>
        <w:rPr>
          <w:i/>
          <w:iCs/>
        </w:rPr>
        <w:t xml:space="preserve">hard. Installing it once per team, forever, is - and that is the thing every</w:t>
      </w:r>
      <w:r>
        <w:rPr>
          <w:i/>
          <w:iCs/>
        </w:rPr>
        <w:t xml:space="preserve"> </w:t>
      </w:r>
      <w:r>
        <w:rPr>
          <w:i/>
          <w:iCs/>
        </w:rPr>
        <w:t xml:space="preserve">research computing estate is actually doing.</w:t>
      </w:r>
    </w:p>
    <w:bookmarkStart w:id="33" w:name="X59f5d3176d7d3ec0fc727c3b4aa122bb76e09cf"/>
    <w:p>
      <w:pPr>
        <w:pStyle w:val="Heading1"/>
      </w:pPr>
      <w:r>
        <w:t xml:space="preserve">Where this starts: enterprise Linux is old on purpose</w:t>
      </w:r>
    </w:p>
    <w:p>
      <w:pPr>
        <w:pStyle w:val="FirstParagraph"/>
      </w:pPr>
      <w:r>
        <w:t xml:space="preserve">Almost every HPC cluster runs an enterprise Linux distribution, for good reasons:</w:t>
      </w:r>
      <w:r>
        <w:t xml:space="preserve"> </w:t>
      </w:r>
      <w:r>
        <w:t xml:space="preserve">the vendor supports the interconnect, the parallel filesystem and the GPU driver</w:t>
      </w:r>
      <w:r>
        <w:t xml:space="preserve"> </w:t>
      </w:r>
      <w:r>
        <w:t xml:space="preserve">against that kernel and no other. The cost of that support is that the userland</w:t>
      </w:r>
      <w:r>
        <w:t xml:space="preserve"> </w:t>
      </w:r>
      <w:r>
        <w:t xml:space="preserve">ships frozen years behind what anyone is writing code against today.</w:t>
      </w:r>
      <w:r>
        <w:rPr>
          <w:rStyle w:val="FootnoteReference"/>
        </w:rPr>
        <w:footnoteReference w:id="21"/>
      </w:r>
      <w:r>
        <w:rPr>
          <w:rStyle w:val="FootnoteReference"/>
        </w:rPr>
        <w:footnoteReference w:id="23"/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Distribution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Kernel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GCC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glibc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Python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RHEL / Rocky 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3.9.2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RHEL / Rocky 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3.9.10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Fedora 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3.13.0</w:t>
            </w:r>
          </w:p>
        </w:tc>
      </w:tr>
    </w:tbl>
    <w:p>
      <w:pPr>
        <w:pStyle w:val="BodyText"/>
      </w:pPr>
      <w:r>
        <w:t xml:space="preserve">The first two rows are what your cluster runs. The third is what the</w:t>
      </w:r>
      <w:r>
        <w:t xml:space="preserve"> </w:t>
      </w:r>
      <w:r>
        <w:t xml:space="preserve">documentation your users are reading assumes.</w:t>
      </w:r>
      <w:r>
        <w:rPr>
          <w:rStyle w:val="FootnoteReference"/>
        </w:rPr>
        <w:footnoteReference w:id="25"/>
      </w:r>
    </w:p>
    <w:p>
      <w:pPr>
        <w:pStyle w:val="BodyText"/>
      </w:pPr>
      <w:r>
        <w:rPr>
          <w:b/>
          <w:bCs/>
        </w:rPr>
        <w:t xml:space="preserve">The user’s move does not work.</w:t>
      </w:r>
      <w:r>
        <w:t xml:space="preserve"> </w:t>
      </w:r>
      <w:r>
        <w:t xml:space="preserve">They follow the upstream install instructions,</w:t>
      </w:r>
      <w:r>
        <w:t xml:space="preserve"> </w:t>
      </w:r>
      <w:r>
        <w:t xml:space="preserve">type</w:t>
      </w:r>
      <w:r>
        <w:t xml:space="preserve"> </w:t>
      </w:r>
      <w:r>
        <w:rPr>
          <w:rStyle w:val="VerbatimChar"/>
        </w:rPr>
        <w:t xml:space="preserve">sudo dnf install python3.12-devel</w:t>
      </w:r>
      <w:r>
        <w:t xml:space="preserve"> </w:t>
      </w:r>
      <w:r>
        <w:t xml:space="preserve">on a login node, and are told they are</w:t>
      </w:r>
      <w:r>
        <w:t xml:space="preserve"> </w:t>
      </w:r>
      <w:r>
        <w:t xml:space="preserve">not in the sudoers file. Nothing about that is their fault - the instructions</w:t>
      </w:r>
      <w:r>
        <w:t xml:space="preserve"> </w:t>
      </w:r>
      <w:r>
        <w:t xml:space="preserve">were written for a laptop.</w:t>
      </w:r>
    </w:p>
    <w:p>
      <w:pPr>
        <w:pStyle w:val="BodyText"/>
      </w:pPr>
      <w:r>
        <w:rPr>
          <w:b/>
          <w:bCs/>
        </w:rPr>
        <w:t xml:space="preserve">The administrator’s move does not scale.</w:t>
      </w:r>
      <w:r>
        <w:t xml:space="preserve"> </w:t>
      </w:r>
      <w:r>
        <w:t xml:space="preserve">So the site installs it centrally</w:t>
      </w:r>
      <w:r>
        <w:t xml:space="preserve"> </w:t>
      </w:r>
      <w:r>
        <w:t xml:space="preserve">and writes a modulefile. Then another version. Then the same package against a</w:t>
      </w:r>
      <w:r>
        <w:t xml:space="preserve"> </w:t>
      </w:r>
      <w:r>
        <w:t xml:space="preserve">second compiler, and a third MPI. The modulefiles were written by hand, and so</w:t>
      </w:r>
      <w:r>
        <w:t xml:space="preserve"> </w:t>
      </w:r>
      <w:r>
        <w:t xml:space="preserve">was the software, and neither is written the same way twice.</w:t>
      </w:r>
    </w:p>
    <w:p>
      <w:pPr>
        <w:pStyle w:val="BodyText"/>
      </w:pPr>
      <w:r>
        <w:rPr>
          <w:b/>
          <w:bCs/>
        </w:rPr>
        <w:t xml:space="preserve">And the site next door is doing it too.</w:t>
      </w:r>
      <w:r>
        <w:t xml:space="preserve"> </w:t>
      </w:r>
      <w:r>
        <w:t xml:space="preserve">Every site in the country is</w:t>
      </w:r>
      <w:r>
        <w:t xml:space="preserve"> </w:t>
      </w:r>
      <w:r>
        <w:t xml:space="preserve">compiling the same packages, from the same sources, to different results. The</w:t>
      </w:r>
      <w:r>
        <w:t xml:space="preserve"> </w:t>
      </w:r>
      <w:r>
        <w:t xml:space="preserve">effort is real, the people are good, and almost all of it is duplicated.</w:t>
      </w:r>
    </w:p>
    <w:p>
      <w:pPr>
        <w:pStyle w:val="CaptionedFigure"/>
      </w:pPr>
      <w:r>
        <w:drawing>
          <wp:inline>
            <wp:extent cx="4160520" cy="2218510"/>
            <wp:effectExtent b="0" l="0" r="0" t="0"/>
            <wp:docPr descr="The axis is not build-or-mount - the tree does get built, from source, always. It is how many times. Install per site and “4.5.1” is a string several groups independently chose; install once and it is a version." title="" id="27" name="Picture"/>
            <a:graphic>
              <a:graphicData uri="http://schemas.openxmlformats.org/drawingml/2006/picture">
                <pic:pic>
                  <pic:nvPicPr>
                    <pic:cNvPr descr="diagrams/fig1-install-once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520" cy="22185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The axis is not build-or-mount - the tree does get built, from source,</w:t>
      </w:r>
      <w:r>
        <w:t xml:space="preserve"> </w:t>
      </w:r>
      <w:r>
        <w:t xml:space="preserve">always. It is how many times. Install per site and</w:t>
      </w:r>
      <w:r>
        <w:t xml:space="preserve"> </w:t>
      </w:r>
      <w:r>
        <w:t xml:space="preserve">“</w:t>
      </w:r>
      <w:r>
        <w:t xml:space="preserve">4.5.1</w:t>
      </w:r>
      <w:r>
        <w:t xml:space="preserve">”</w:t>
      </w:r>
      <w:r>
        <w:t xml:space="preserve"> </w:t>
      </w:r>
      <w:r>
        <w:t xml:space="preserve">is a string several</w:t>
      </w:r>
      <w:r>
        <w:t xml:space="preserve"> </w:t>
      </w:r>
      <w:r>
        <w:t xml:space="preserve">groups independently chose; install once and it is a</w:t>
      </w:r>
      <w:r>
        <w:t xml:space="preserve"> </w:t>
      </w:r>
      <w:r>
        <w:t xml:space="preserve">version.</w:t>
      </w:r>
    </w:p>
    <w:bookmarkStart w:id="32" w:name="Xc38c59bffb8e879843797485f906eb850b74e53"/>
    <w:p>
      <w:pPr>
        <w:pStyle w:val="Heading2"/>
      </w:pPr>
      <w:r>
        <w:t xml:space="preserve">The four requirements, and what fills them</w:t>
      </w:r>
    </w:p>
    <w:p>
      <w:pPr>
        <w:pStyle w:val="FirstParagraph"/>
      </w:pPr>
      <w:r>
        <w:t xml:space="preserve">Canada’s national systems hit this first and hardest: five regional consortia,</w:t>
      </w:r>
      <w:r>
        <w:t xml:space="preserve"> </w:t>
      </w:r>
      <w:r>
        <w:t xml:space="preserve">thirty-eight member institutions, around eighteen thousand accounts, and six</w:t>
      </w:r>
      <w:r>
        <w:t xml:space="preserve"> </w:t>
      </w:r>
      <w:r>
        <w:t xml:space="preserve">national systems that had to look the same to a researcher moving between</w:t>
      </w:r>
      <w:r>
        <w:t xml:space="preserve"> </w:t>
      </w:r>
      <w:r>
        <w:t xml:space="preserve">them.</w:t>
      </w:r>
      <w:r>
        <w:rPr>
          <w:rStyle w:val="FootnoteReference"/>
        </w:rPr>
        <w:footnoteReference w:id="29"/>
      </w:r>
      <w:r>
        <w:rPr>
          <w:rStyle w:val="FootnoteReference"/>
        </w:rPr>
        <w:footnoteReference w:id="31"/>
      </w:r>
      <w:r>
        <w:t xml:space="preserve"> </w:t>
      </w:r>
      <w:r>
        <w:t xml:space="preserve">The requirements were written down before the tools were chosen,</w:t>
      </w:r>
      <w:r>
        <w:t xml:space="preserve"> </w:t>
      </w:r>
      <w:r>
        <w:t xml:space="preserve">which is why the result generalises.</w:t>
      </w:r>
    </w:p>
    <w:p>
      <w:pPr>
        <w:pStyle w:val="BlockText"/>
      </w:pPr>
      <w:r>
        <w:t xml:space="preserve">Users should be presented with an interface that is as consistent and as easy</w:t>
      </w:r>
      <w:r>
        <w:t xml:space="preserve"> </w:t>
      </w:r>
      <w:r>
        <w:t xml:space="preserve">to use as possible across all sites. It should also offer optimal performance.</w:t>
      </w:r>
    </w:p>
    <w:p>
      <w:pPr>
        <w:pStyle w:val="BlockText"/>
      </w:pPr>
      <w:r>
        <w:t xml:space="preserve">— Digital Research Alliance of Canada, site talk, EasyBuild User Meeting 2023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way to distribute it.</w:t>
      </w:r>
      <w:r>
        <w:t xml:space="preserve"> </w:t>
      </w:r>
      <w:r>
        <w:t xml:space="preserve">One tree, published once, reaching every machine</w:t>
      </w:r>
      <w:r>
        <w:t xml:space="preserve"> </w:t>
      </w:r>
      <w:r>
        <w:t xml:space="preserve">without a per-machine installation step. → CernVM-FS.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Independence from the host operating system.</w:t>
      </w:r>
      <w:r>
        <w:t xml:space="preserve"> </w:t>
      </w:r>
      <w:r>
        <w:t xml:space="preserve">So the same tree runs on the</w:t>
      </w:r>
      <w:r>
        <w:t xml:space="preserve"> </w:t>
      </w:r>
      <w:r>
        <w:t xml:space="preserve">cluster’s frozen enterprise Linux and on somebody’s current laptop. → a</w:t>
      </w:r>
      <w:r>
        <w:t xml:space="preserve"> </w:t>
      </w:r>
      <w:r>
        <w:t xml:space="preserve">compatibility layer.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Automated installation, because humans are not consistent.</w:t>
      </w:r>
      <w:r>
        <w:t xml:space="preserve"> </w:t>
      </w:r>
      <w:r>
        <w:t xml:space="preserve">The build has</w:t>
      </w:r>
      <w:r>
        <w:t xml:space="preserve"> </w:t>
      </w:r>
      <w:r>
        <w:t xml:space="preserve">to be a recorded recipe rather than a remembered procedure. → EasyBuild.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 interface that survives ten thousand combinations.</w:t>
      </w:r>
      <w:r>
        <w:t xml:space="preserve"> </w:t>
      </w:r>
      <w:r>
        <w:t xml:space="preserve">Users choose</w:t>
      </w:r>
      <w:r>
        <w:t xml:space="preserve"> </w:t>
      </w:r>
      <w:r>
        <w:t xml:space="preserve">software, not build permutations. → Lmod, hierarchical.</w:t>
      </w:r>
    </w:p>
    <w:p>
      <w:pPr>
        <w:pStyle w:val="FirstParagraph"/>
      </w:pPr>
      <w:r>
        <w:rPr>
          <w:i/>
          <w:iCs/>
        </w:rPr>
        <w:t xml:space="preserve">Why this matters.</w:t>
      </w:r>
      <w:r>
        <w:t xml:space="preserve"> </w:t>
      </w:r>
      <w:r>
        <w:t xml:space="preserve">These four are requirements, not a product. Any organisation</w:t>
      </w:r>
      <w:r>
        <w:t xml:space="preserve"> </w:t>
      </w:r>
      <w:r>
        <w:t xml:space="preserve">that installs scientific software at more than one place is already paying for</w:t>
      </w:r>
      <w:r>
        <w:t xml:space="preserve"> </w:t>
      </w:r>
      <w:r>
        <w:t xml:space="preserve">all four - usually as unbudgeted effort spread across teams that do not know</w:t>
      </w:r>
      <w:r>
        <w:t xml:space="preserve"> </w:t>
      </w:r>
      <w:r>
        <w:t xml:space="preserve">they are solving the same problem.</w:t>
      </w:r>
    </w:p>
    <w:bookmarkEnd w:id="32"/>
    <w:bookmarkEnd w:id="33"/>
    <w:bookmarkStart w:id="39" w:name="Xe0cdd9deaf50053735a99a643e12c94f5535971"/>
    <w:p>
      <w:pPr>
        <w:pStyle w:val="Heading1"/>
      </w:pPr>
      <w:r>
        <w:t xml:space="preserve">The obvious objection:</w:t>
      </w:r>
      <w:r>
        <w:t xml:space="preserve"> </w:t>
      </w:r>
      <w:r>
        <w:t xml:space="preserve">“</w:t>
      </w:r>
      <w:r>
        <w:t xml:space="preserve">isn’t this what containers are for?</w:t>
      </w:r>
      <w:r>
        <w:t xml:space="preserve">”</w:t>
      </w:r>
    </w:p>
    <w:p>
      <w:pPr>
        <w:pStyle w:val="FirstParagraph"/>
      </w:pPr>
      <w:r>
        <w:t xml:space="preserve">Partly, and the part they do they do well. It is worth separating two things the</w:t>
      </w:r>
      <w:r>
        <w:t xml:space="preserve"> </w:t>
      </w:r>
      <w:r>
        <w:t xml:space="preserve">word</w:t>
      </w:r>
      <w:r>
        <w:t xml:space="preserve"> </w:t>
      </w:r>
      <w:r>
        <w:t xml:space="preserve">“</w:t>
      </w:r>
      <w:r>
        <w:t xml:space="preserve">reproducible</w:t>
      </w:r>
      <w:r>
        <w:t xml:space="preserve">”</w:t>
      </w:r>
      <w:r>
        <w:t xml:space="preserve"> </w:t>
      </w:r>
      <w:r>
        <w:t xml:space="preserve">is doing at once.</w:t>
      </w:r>
    </w:p>
    <w:p>
      <w:pPr>
        <w:pStyle w:val="BodyText"/>
      </w:pPr>
      <w:r>
        <w:rPr>
          <w:b/>
          <w:bCs/>
        </w:rPr>
        <w:t xml:space="preserve">Repeatability</w:t>
      </w:r>
      <w:r>
        <w:t xml:space="preserve"> </w:t>
      </w:r>
      <w:r>
        <w:t xml:space="preserve">is running the same bits again. Fix an image, move it, run it,</w:t>
      </w:r>
      <w:r>
        <w:t xml:space="preserve"> </w:t>
      </w:r>
      <w:r>
        <w:t xml:space="preserve">get the same result. Containers are excellent at this and nothing here replaces</w:t>
      </w:r>
      <w:r>
        <w:t xml:space="preserve"> </w:t>
      </w:r>
      <w:r>
        <w:t xml:space="preserve">them.</w:t>
      </w:r>
    </w:p>
    <w:p>
      <w:pPr>
        <w:pStyle w:val="BodyText"/>
      </w:pPr>
      <w:r>
        <w:rPr>
          <w:b/>
          <w:bCs/>
        </w:rPr>
        <w:t xml:space="preserve">Accountability</w:t>
      </w:r>
      <w:r>
        <w:t xml:space="preserve"> </w:t>
      </w:r>
      <w:r>
        <w:t xml:space="preserve">is saying what those bits</w:t>
      </w:r>
      <w:r>
        <w:t xml:space="preserve"> </w:t>
      </w:r>
      <w:r>
        <w:rPr>
          <w:i/>
          <w:iCs/>
        </w:rPr>
        <w:t xml:space="preserve">are</w:t>
      </w:r>
      <w:r>
        <w:t xml:space="preserve">: which compiler, which flags,</w:t>
      </w:r>
      <w:r>
        <w:t xml:space="preserve"> </w:t>
      </w:r>
      <w:r>
        <w:t xml:space="preserve">which source revision, which patch set, on which machine. If the bits were</w:t>
      </w:r>
      <w:r>
        <w:t xml:space="preserve"> </w:t>
      </w:r>
      <w:r>
        <w:t xml:space="preserve">compiled elsewhere, that information never existed on your side of the boundary.</w:t>
      </w:r>
      <w:r>
        <w:t xml:space="preserve"> </w:t>
      </w:r>
      <w:r>
        <w:t xml:space="preserve">Freezing an unknown does not make it known.</w:t>
      </w:r>
    </w:p>
    <w:p>
      <w:pPr>
        <w:pStyle w:val="BodyText"/>
      </w:pPr>
      <w:r>
        <w:t xml:space="preserve">A container is a distribution format, not a derivation. That is not a criticism -</w:t>
      </w:r>
      <w:r>
        <w:t xml:space="preserve"> </w:t>
      </w:r>
      <w:r>
        <w:t xml:space="preserve">it is a description of what it is for. The stack inside it still has to be built</w:t>
      </w:r>
      <w:r>
        <w:t xml:space="preserve"> </w:t>
      </w:r>
      <w:r>
        <w:t xml:space="preserve">once, by someone, from something.</w:t>
      </w:r>
    </w:p>
    <w:p>
      <w:pPr>
        <w:pStyle w:val="BodyText"/>
      </w:pPr>
      <w:r>
        <w:t xml:space="preserve">Even setting provenance aside, shipping the stack inside the image goes wrong at</w:t>
      </w:r>
      <w:r>
        <w:t xml:space="preserve"> </w:t>
      </w:r>
      <w:r>
        <w:t xml:space="preserve">scale in two specific ways.</w:t>
      </w:r>
      <w:r>
        <w:t xml:space="preserve"> </w:t>
      </w:r>
      <w:r>
        <w:rPr>
          <w:b/>
          <w:bCs/>
        </w:rPr>
        <w:t xml:space="preserve">The image grows with the catalogue:</w:t>
      </w:r>
      <w:r>
        <w:t xml:space="preserve"> </w:t>
      </w:r>
      <w:r>
        <w:t xml:space="preserve">add a package</w:t>
      </w:r>
      <w:r>
        <w:t xml:space="preserve"> </w:t>
      </w:r>
      <w:r>
        <w:t xml:space="preserve">anyone might want and every image that might want it is rebuilt and</w:t>
      </w:r>
      <w:r>
        <w:t xml:space="preserve"> </w:t>
      </w:r>
      <w:r>
        <w:t xml:space="preserve">redistributed, so the cost of a small addition is set by the size of the</w:t>
      </w:r>
      <w:r>
        <w:t xml:space="preserve"> </w:t>
      </w:r>
      <w:r>
        <w:t xml:space="preserve">collection. And</w:t>
      </w:r>
      <w:r>
        <w:t xml:space="preserve"> </w:t>
      </w:r>
      <w:r>
        <w:rPr>
          <w:b/>
          <w:bCs/>
        </w:rPr>
        <w:t xml:space="preserve">you ship what might be used, not what is:</w:t>
      </w:r>
      <w:r>
        <w:t xml:space="preserve"> </w:t>
      </w:r>
      <w:r>
        <w:t xml:space="preserve">importing one</w:t>
      </w:r>
      <w:r>
        <w:t xml:space="preserve"> </w:t>
      </w:r>
      <w:r>
        <w:t xml:space="preserve">Python library touches a few thousand files out of a stack of hundreds of</w:t>
      </w:r>
      <w:r>
        <w:t xml:space="preserve"> </w:t>
      </w:r>
      <w:r>
        <w:t xml:space="preserve">thousands. Pulling an image moves all of them every time; streaming moves the few</w:t>
      </w:r>
      <w:r>
        <w:t xml:space="preserve"> </w:t>
      </w:r>
      <w:r>
        <w:t xml:space="preserve">thousand, once.</w:t>
      </w:r>
      <w:r>
        <w:rPr>
          <w:rStyle w:val="FootnoteReference"/>
        </w:rPr>
        <w:footnoteReference w:id="34"/>
      </w:r>
    </w:p>
    <w:p>
      <w:pPr>
        <w:pStyle w:val="BodyText"/>
      </w:pPr>
      <w:r>
        <w:t xml:space="preserve">Containers stay in the picture. The move is not to abandon them - it is to</w:t>
      </w:r>
      <w:r>
        <w:t xml:space="preserve"> </w:t>
      </w:r>
      <w:r>
        <w:t xml:space="preserve">change what they carry. An image with an operating system and a mount point stays</w:t>
      </w:r>
      <w:r>
        <w:t xml:space="preserve"> </w:t>
      </w:r>
      <w:r>
        <w:t xml:space="preserve">small and stays stable, because the catalogue it reaches is not inside it.</w:t>
      </w:r>
      <w:r>
        <w:t xml:space="preserve"> </w:t>
      </w:r>
      <w:r>
        <w:t xml:space="preserve">CernVM-FS applies the same idea to images themselves:</w:t>
      </w:r>
      <w:r>
        <w:t xml:space="preserve"> </w:t>
      </w:r>
      <w:r>
        <w:rPr>
          <w:rStyle w:val="VerbatimChar"/>
        </w:rPr>
        <w:t xml:space="preserve">unpacked.cern.ch</w:t>
      </w:r>
      <w:r>
        <w:t xml:space="preserve"> </w:t>
      </w:r>
      <w:r>
        <w:t xml:space="preserve">publishes container images in extracted, per-file, deduplicated form, so a</w:t>
      </w:r>
      <w:r>
        <w:t xml:space="preserve"> </w:t>
      </w:r>
      <w:r>
        <w:t xml:space="preserve">runtime executes a root filesystem straight off the mount and pulls only the</w:t>
      </w:r>
      <w:r>
        <w:t xml:space="preserve"> </w:t>
      </w:r>
      <w:r>
        <w:t xml:space="preserve">files the run actually opens.</w:t>
      </w:r>
      <w:r>
        <w:rPr>
          <w:rStyle w:val="FootnoteReference"/>
        </w:rPr>
        <w:footnoteReference w:id="36"/>
      </w:r>
      <w:r>
        <w:rPr>
          <w:rStyle w:val="FootnoteReference"/>
        </w:rPr>
        <w:footnoteReference w:id="38"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  <w:i/>
          <w:iCs/>
        </w:rPr>
        <w:t xml:space="preserve">Part II - The delivery substrate.</w:t>
      </w:r>
      <w:r>
        <w:t xml:space="preserve"> </w:t>
      </w:r>
      <w:r>
        <w:rPr>
          <w:i/>
          <w:iCs/>
        </w:rPr>
        <w:t xml:space="preserve">CernVM-FS was built at CERN to give the</w:t>
      </w:r>
      <w:r>
        <w:rPr>
          <w:i/>
          <w:iCs/>
        </w:rPr>
        <w:t xml:space="preserve"> </w:t>
      </w:r>
      <w:r>
        <w:rPr>
          <w:i/>
          <w:iCs/>
        </w:rPr>
        <w:t xml:space="preserve">worldwide LHC computing grid one software tree. It is the layer everything else</w:t>
      </w:r>
      <w:r>
        <w:rPr>
          <w:i/>
          <w:iCs/>
        </w:rPr>
        <w:t xml:space="preserve"> </w:t>
      </w:r>
      <w:r>
        <w:rPr>
          <w:i/>
          <w:iCs/>
        </w:rPr>
        <w:t xml:space="preserve">stands on, and the one most worth understanding on its own terms.</w:t>
      </w:r>
    </w:p>
    <w:bookmarkEnd w:id="39"/>
    <w:bookmarkStart w:id="45" w:name="the-filesystem-software-streamed"/>
    <w:p>
      <w:pPr>
        <w:pStyle w:val="Heading1"/>
      </w:pPr>
      <w:r>
        <w:t xml:space="preserve">The filesystem: software, streamed</w:t>
      </w:r>
    </w:p>
    <w:p>
      <w:pPr>
        <w:pStyle w:val="FirstParagraph"/>
      </w:pPr>
      <w:r>
        <w:t xml:space="preserve">CernVM-FS presents a read-only directory under</w:t>
      </w:r>
      <w:r>
        <w:t xml:space="preserve"> </w:t>
      </w:r>
      <w:r>
        <w:rPr>
          <w:rStyle w:val="VerbatimChar"/>
        </w:rPr>
        <w:t xml:space="preserve">/cvmfs</w:t>
      </w:r>
      <w:r>
        <w:t xml:space="preserve"> </w:t>
      </w:r>
      <w:r>
        <w:t xml:space="preserve">that behaves like an</w:t>
      </w:r>
      <w:r>
        <w:t xml:space="preserve"> </w:t>
      </w:r>
      <w:r>
        <w:t xml:space="preserve">on-demand streaming service - for scientific software rather than for video.</w:t>
      </w:r>
      <w:r>
        <w:t xml:space="preserve"> </w:t>
      </w:r>
      <w:r>
        <w:t xml:space="preserve">Nothing is installed and nothing is downloaded up front. Files arrive when a</w:t>
      </w:r>
      <w:r>
        <w:t xml:space="preserve"> </w:t>
      </w:r>
      <w:r>
        <w:t xml:space="preserve">process opens them.</w:t>
      </w:r>
      <w:r>
        <w:rPr>
          <w:rStyle w:val="FootnoteReference"/>
        </w:rPr>
        <w:footnoteReference w:id="40"/>
      </w:r>
      <w:r>
        <w:rPr>
          <w:rStyle w:val="FootnoteReference"/>
        </w:rPr>
        <w:footnoteReference w:id="42"/>
      </w:r>
      <w:r>
        <w:rPr>
          <w:rStyle w:val="FootnoteReference"/>
        </w:rPr>
        <w:footnoteReference w:id="43"/>
      </w:r>
    </w:p>
    <w:p>
      <w:pPr>
        <w:pStyle w:val="BodyText"/>
      </w:pPr>
      <w:r>
        <w:rPr>
          <w:b/>
          <w:bCs/>
        </w:rPr>
        <w:t xml:space="preserve">A filesystem, not a package manager.</w:t>
      </w:r>
      <w:r>
        <w:t xml:space="preserve"> </w:t>
      </w:r>
      <w:r>
        <w:t xml:space="preserve">It is implemented in userspace over</w:t>
      </w:r>
      <w:r>
        <w:t xml:space="preserve"> </w:t>
      </w:r>
      <w:r>
        <w:t xml:space="preserve">FUSE, so it installs on every worker node without touching the kernel, and every</w:t>
      </w:r>
      <w:r>
        <w:t xml:space="preserve"> </w:t>
      </w:r>
      <w:r>
        <w:t xml:space="preserve">tool that can open a file can use it - the dynamic loader included.</w:t>
      </w:r>
    </w:p>
    <w:p>
      <w:pPr>
        <w:pStyle w:val="BodyText"/>
      </w:pPr>
      <w:r>
        <w:rPr>
          <w:b/>
          <w:bCs/>
        </w:rPr>
        <w:t xml:space="preserve">Content-addressed, so identical bytes are stored once.</w:t>
      </w:r>
      <w:r>
        <w:t xml:space="preserve"> </w:t>
      </w:r>
      <w:r>
        <w:t xml:space="preserve">Files are named by</w:t>
      </w:r>
      <w:r>
        <w:t xml:space="preserve"> </w:t>
      </w:r>
      <w:r>
        <w:t xml:space="preserve">their cryptographic hash rather than by path. Fifty modules sharing a library</w:t>
      </w:r>
      <w:r>
        <w:t xml:space="preserve"> </w:t>
      </w:r>
      <w:r>
        <w:t xml:space="preserve">share one object. Deduplication is not an optimisation pass; it is what naming by</w:t>
      </w:r>
      <w:r>
        <w:t xml:space="preserve"> </w:t>
      </w:r>
      <w:r>
        <w:t xml:space="preserve">content means.</w:t>
      </w:r>
    </w:p>
    <w:p>
      <w:pPr>
        <w:pStyle w:val="BodyText"/>
      </w:pPr>
      <w:r>
        <w:rPr>
          <w:b/>
          <w:bCs/>
        </w:rPr>
        <w:t xml:space="preserve">Compressed on the server, transparent on the client.</w:t>
      </w:r>
      <w:r>
        <w:t xml:space="preserve"> </w:t>
      </w:r>
      <w:r>
        <w:t xml:space="preserve">Objects are stored</w:t>
      </w:r>
      <w:r>
        <w:t xml:space="preserve"> </w:t>
      </w:r>
      <w:r>
        <w:t xml:space="preserve">compressed and decompressed on arrival, so the wire cost and the storage cost</w:t>
      </w:r>
      <w:r>
        <w:t xml:space="preserve"> </w:t>
      </w:r>
      <w:r>
        <w:t xml:space="preserve">both fall without anything upstream of the client having to care.</w:t>
      </w:r>
    </w:p>
    <w:p>
      <w:pPr>
        <w:pStyle w:val="BodyText"/>
      </w:pPr>
      <w:r>
        <w:rPr>
          <w:b/>
          <w:bCs/>
        </w:rPr>
        <w:t xml:space="preserve">Ordinary HTTP, all the way down.</w:t>
      </w:r>
      <w:r>
        <w:t xml:space="preserve"> </w:t>
      </w:r>
      <w:r>
        <w:t xml:space="preserve">Which is why the caching hierarchy is a</w:t>
      </w:r>
      <w:r>
        <w:t xml:space="preserve"> </w:t>
      </w:r>
      <w:r>
        <w:t xml:space="preserve">Squid proxy and the mirror is an Apache server. There is no bespoke transport to</w:t>
      </w:r>
      <w:r>
        <w:t xml:space="preserve"> </w:t>
      </w:r>
      <w:r>
        <w:t xml:space="preserve">operate.</w:t>
      </w:r>
    </w:p>
    <w:p>
      <w:pPr>
        <w:pStyle w:val="BodyText"/>
      </w:pPr>
      <w:r>
        <w:rPr>
          <w:i/>
          <w:iCs/>
        </w:rPr>
        <w:t xml:space="preserve">Why this matters.</w:t>
      </w:r>
      <w:r>
        <w:t xml:space="preserve"> </w:t>
      </w:r>
      <w:r>
        <w:t xml:space="preserve">A vast catalogue costs nothing until it is used. That is the</w:t>
      </w:r>
      <w:r>
        <w:t xml:space="preserve"> </w:t>
      </w:r>
      <w:r>
        <w:t xml:space="preserve">property that makes it affordable to keep every version of everything you have</w:t>
      </w:r>
      <w:r>
        <w:t xml:space="preserve"> </w:t>
      </w:r>
      <w:r>
        <w:t xml:space="preserve">ever built, which in turn is what makes</w:t>
      </w:r>
      <w:r>
        <w:t xml:space="preserve"> </w:t>
      </w:r>
      <w:r>
        <w:t xml:space="preserve">“</w:t>
      </w:r>
      <w:r>
        <w:t xml:space="preserve">reproduce the result from 2029</w:t>
      </w:r>
      <w:r>
        <w:t xml:space="preserve">”</w:t>
      </w:r>
      <w:r>
        <w:t xml:space="preserve"> </w:t>
      </w:r>
      <w:r>
        <w:t xml:space="preserve">a mount</w:t>
      </w:r>
      <w:r>
        <w:t xml:space="preserve"> </w:t>
      </w:r>
      <w:r>
        <w:t xml:space="preserve">rather than a rebuild.</w:t>
      </w:r>
    </w:p>
    <w:bookmarkEnd w:id="45"/>
    <w:bookmarkStart w:id="50" w:name="X4b142a085516f90a37026ad243334d787ebe215"/>
    <w:p>
      <w:pPr>
        <w:pStyle w:val="Heading1"/>
      </w:pPr>
      <w:r>
        <w:t xml:space="preserve">Integrity: one signature, covering everything below it</w:t>
      </w:r>
    </w:p>
    <w:p>
      <w:pPr>
        <w:pStyle w:val="FirstParagraph"/>
      </w:pPr>
      <w:r>
        <w:t xml:space="preserve">A globally distributed, aggressively cached, plain-HTTP filesystem sounds like it</w:t>
      </w:r>
      <w:r>
        <w:t xml:space="preserve"> </w:t>
      </w:r>
      <w:r>
        <w:t xml:space="preserve">should be impossible to trust. It is not, because of how little of it is signed:</w:t>
      </w:r>
      <w:r>
        <w:t xml:space="preserve"> </w:t>
      </w:r>
      <w:r>
        <w:t xml:space="preserve">exactly one object, from which everything else is reachable by content hash.</w:t>
      </w:r>
      <w:r>
        <w:rPr>
          <w:rStyle w:val="FootnoteReference"/>
        </w:rPr>
        <w:footnoteReference w:id="46"/>
      </w:r>
    </w:p>
    <w:p>
      <w:pPr>
        <w:pStyle w:val="CaptionedFigure"/>
      </w:pPr>
      <w:r>
        <w:drawing>
          <wp:inline>
            <wp:extent cx="3307080" cy="2867094"/>
            <wp:effectExtent b="0" l="0" r="0" t="0"/>
            <wp:docPr descr="The manifest names the root catalog by hash; the root catalog names its sub-catalogs by hash; each catalog names its files by hash. So a single signature over the manifest covers the whole tree transitively - and a client that verifies it once can accept every byte underneath from any cache, however untrusted." title="" id="48" name="Picture"/>
            <a:graphic>
              <a:graphicData uri="http://schemas.openxmlformats.org/drawingml/2006/picture">
                <pic:pic>
                  <pic:nvPicPr>
                    <pic:cNvPr descr="diagrams/fig2-merkle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28670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The manifest names the root catalog by hash; the root catalog names its</w:t>
      </w:r>
      <w:r>
        <w:t xml:space="preserve"> </w:t>
      </w:r>
      <w:r>
        <w:t xml:space="preserve">sub-catalogs by hash; each catalog names its files by hash. So a single signature</w:t>
      </w:r>
      <w:r>
        <w:t xml:space="preserve"> </w:t>
      </w:r>
      <w:r>
        <w:t xml:space="preserve">over the manifest covers the whole tree transitively - and a client that</w:t>
      </w:r>
      <w:r>
        <w:t xml:space="preserve"> </w:t>
      </w:r>
      <w:r>
        <w:t xml:space="preserve">verifies it once can accept every byte underneath from any cache, however</w:t>
      </w:r>
      <w:r>
        <w:t xml:space="preserve"> </w:t>
      </w:r>
      <w:r>
        <w:t xml:space="preserve">untrusted.</w:t>
      </w:r>
    </w:p>
    <w:p>
      <w:pPr>
        <w:pStyle w:val="BodyText"/>
      </w:pPr>
      <w:r>
        <w:t xml:space="preserve">The repository manifest is the entire entry point - seven fields and a</w:t>
      </w:r>
      <w:r>
        <w:t xml:space="preserve"> </w:t>
      </w:r>
      <w:r>
        <w:t xml:space="preserve">signature:</w:t>
      </w:r>
    </w:p>
    <w:p>
      <w:pPr>
        <w:pStyle w:val="SourceCode"/>
      </w:pPr>
      <w:r>
        <w:rPr>
          <w:rStyle w:val="VerbatimChar"/>
        </w:rPr>
        <w:t xml:space="preserve">$ curl -s http://&lt;stratum1&gt;/cvmfs/software.eessi.io/.cvmfspublished | head</w:t>
      </w:r>
      <w:r>
        <w:br/>
      </w:r>
      <w:r>
        <w:rPr>
          <w:rStyle w:val="VerbatimChar"/>
        </w:rPr>
        <w:t xml:space="preserve">C7d1e...                 # root catalog, by content hash</w:t>
      </w:r>
      <w:r>
        <w:br/>
      </w:r>
      <w:r>
        <w:rPr>
          <w:rStyle w:val="VerbatimChar"/>
        </w:rPr>
        <w:t xml:space="preserve">B1179648                 # its size in bytes</w:t>
      </w:r>
      <w:r>
        <w:br/>
      </w:r>
      <w:r>
        <w:rPr>
          <w:rStyle w:val="VerbatimChar"/>
        </w:rPr>
        <w:t xml:space="preserve">Xf3a9...                 # hash of the signing certificate</w:t>
      </w:r>
      <w:r>
        <w:br/>
      </w:r>
      <w:r>
        <w:rPr>
          <w:rStyle w:val="VerbatimChar"/>
        </w:rPr>
        <w:t xml:space="preserve">T1747526400              # when this revision was published</w:t>
      </w:r>
      <w:r>
        <w:br/>
      </w:r>
      <w:r>
        <w:rPr>
          <w:rStyle w:val="VerbatimChar"/>
        </w:rPr>
        <w:t xml:space="preserve">D240                     # how long a client may cache it, in seconds</w:t>
      </w:r>
      <w:r>
        <w:br/>
      </w:r>
      <w:r>
        <w:rPr>
          <w:rStyle w:val="VerbatimChar"/>
        </w:rPr>
        <w:t xml:space="preserve">S5348                    # revision number</w:t>
      </w:r>
      <w:r>
        <w:br/>
      </w:r>
      <w:r>
        <w:rPr>
          <w:rStyle w:val="VerbatimChar"/>
        </w:rPr>
        <w:t xml:space="preserve">Nsoftware.eessi.io       # fully qualified repository name</w:t>
      </w:r>
      <w:r>
        <w:br/>
      </w:r>
      <w:r>
        <w:rPr>
          <w:rStyle w:val="VerbatimChar"/>
        </w:rPr>
        <w:t xml:space="preserve">--                       # everything below is the signature</w:t>
      </w:r>
    </w:p>
    <w:p>
      <w:pPr>
        <w:pStyle w:val="FirstParagraph"/>
      </w:pPr>
      <w:r>
        <w:rPr>
          <w:b/>
          <w:bCs/>
        </w:rPr>
        <w:t xml:space="preserve">Catalogs are SQLite, and nested.</w:t>
      </w:r>
      <w:r>
        <w:t xml:space="preserve"> </w:t>
      </w:r>
      <w:r>
        <w:t xml:space="preserve">Metadata lives in ordinary database files,</w:t>
      </w:r>
      <w:r>
        <w:t xml:space="preserve"> </w:t>
      </w:r>
      <w:r>
        <w:t xml:space="preserve">split at chosen boundaries and loaded on first access. A repository with billions</w:t>
      </w:r>
      <w:r>
        <w:t xml:space="preserve"> </w:t>
      </w:r>
      <w:r>
        <w:t xml:space="preserve">of files does not require a client to hold billions of entries.</w:t>
      </w:r>
    </w:p>
    <w:p>
      <w:pPr>
        <w:pStyle w:val="BodyText"/>
      </w:pPr>
      <w:r>
        <w:rPr>
          <w:b/>
          <w:bCs/>
        </w:rPr>
        <w:t xml:space="preserve">Trust is a fingerprint, and it is revocable.</w:t>
      </w:r>
      <w:r>
        <w:t xml:space="preserve"> </w:t>
      </w:r>
      <w:r>
        <w:t xml:space="preserve">Clients check the signing</w:t>
      </w:r>
      <w:r>
        <w:t xml:space="preserve"> </w:t>
      </w:r>
      <w:r>
        <w:t xml:space="preserve">certificate against a whitelist signed by a master key. A blacklist can revoke a</w:t>
      </w:r>
      <w:r>
        <w:t xml:space="preserve"> </w:t>
      </w:r>
      <w:r>
        <w:t xml:space="preserve">certificate, and can also refuse every revision below a given number - so a</w:t>
      </w:r>
      <w:r>
        <w:t xml:space="preserve"> </w:t>
      </w:r>
      <w:r>
        <w:t xml:space="preserve">compromised key cannot be used to serve an old, known-bad tree.</w:t>
      </w:r>
    </w:p>
    <w:p>
      <w:pPr>
        <w:pStyle w:val="BodyText"/>
      </w:pPr>
      <w:r>
        <w:rPr>
          <w:b/>
          <w:bCs/>
        </w:rPr>
        <w:t xml:space="preserve">Publishing is a transaction, and revisions are immutable.</w:t>
      </w:r>
      <w:r>
        <w:t xml:space="preserve"> </w:t>
      </w:r>
      <w:r>
        <w:t xml:space="preserve">Changes accumulate</w:t>
      </w:r>
      <w:r>
        <w:t xml:space="preserve"> </w:t>
      </w:r>
      <w:r>
        <w:t xml:space="preserve">on a writable overlay and become a new revision atomically. There is no</w:t>
      </w:r>
      <w:r>
        <w:t xml:space="preserve"> </w:t>
      </w:r>
      <w:r>
        <w:t xml:space="preserve">half-published state for a client to catch. Tag the revisions that matter and a</w:t>
      </w:r>
      <w:r>
        <w:t xml:space="preserve"> </w:t>
      </w:r>
      <w:r>
        <w:t xml:space="preserve">rollback is a command rather than a restore.</w:t>
      </w:r>
    </w:p>
    <w:p>
      <w:pPr>
        <w:pStyle w:val="SourceCode"/>
      </w:pPr>
      <w:r>
        <w:rPr>
          <w:rStyle w:val="VerbatimChar"/>
        </w:rPr>
        <w:t xml:space="preserve">cvmfs_server transaction  software.example.org   # take the lock</w:t>
      </w:r>
      <w:r>
        <w:br/>
      </w:r>
      <w:r>
        <w:rPr>
          <w:rStyle w:val="VerbatimChar"/>
        </w:rPr>
        <w:t xml:space="preserve">#   ... install into /cvmfs/software.example.org ...</w:t>
      </w:r>
      <w:r>
        <w:br/>
      </w:r>
      <w:r>
        <w:rPr>
          <w:rStyle w:val="VerbatimChar"/>
        </w:rPr>
        <w:t xml:space="preserve">cvmfs_server publish -a r-4.5.1 -m 'R 4.5.1, foss/2023a' software.example.org</w:t>
      </w:r>
      <w:r>
        <w:br/>
      </w:r>
      <w:r>
        <w:br/>
      </w:r>
      <w:r>
        <w:rPr>
          <w:rStyle w:val="VerbatimChar"/>
        </w:rPr>
        <w:t xml:space="preserve"># an abort throws the whole change away; there is no half-published state</w:t>
      </w:r>
      <w:r>
        <w:br/>
      </w:r>
      <w:r>
        <w:rPr>
          <w:rStyle w:val="VerbatimChar"/>
        </w:rPr>
        <w:t xml:space="preserve">cvmfs_server abort        software.example.org</w:t>
      </w:r>
      <w:r>
        <w:br/>
      </w:r>
      <w:r>
        <w:br/>
      </w:r>
      <w:r>
        <w:rPr>
          <w:rStyle w:val="VerbatimChar"/>
        </w:rPr>
        <w:t xml:space="preserve"># and a named revision can be returned to</w:t>
      </w:r>
      <w:r>
        <w:br/>
      </w:r>
      <w:r>
        <w:rPr>
          <w:rStyle w:val="VerbatimChar"/>
        </w:rPr>
        <w:t xml:space="preserve">cvmfs_server rollback -t  r-4.5.1  software.example.org</w:t>
      </w:r>
    </w:p>
    <w:p>
      <w:pPr>
        <w:pStyle w:val="FirstParagraph"/>
      </w:pPr>
      <w:r>
        <w:rPr>
          <w:i/>
          <w:iCs/>
        </w:rPr>
        <w:t xml:space="preserve">Why this matters.</w:t>
      </w:r>
      <w:r>
        <w:t xml:space="preserve"> </w:t>
      </w:r>
      <w:r>
        <w:t xml:space="preserve">This is the paragraph a security review actually reads. The</w:t>
      </w:r>
      <w:r>
        <w:t xml:space="preserve"> </w:t>
      </w:r>
      <w:r>
        <w:t xml:space="preserve">claim is not that the transport is trusted - it is that the transport does not</w:t>
      </w:r>
      <w:r>
        <w:t xml:space="preserve"> </w:t>
      </w:r>
      <w:r>
        <w:t xml:space="preserve">need to be. Content is verified against hashes that descend from one signed</w:t>
      </w:r>
      <w:r>
        <w:t xml:space="preserve"> </w:t>
      </w:r>
      <w:r>
        <w:t xml:space="preserve">manifest, so a proxy, a mirror or a disk can all be wrong without the client</w:t>
      </w:r>
      <w:r>
        <w:t xml:space="preserve"> </w:t>
      </w:r>
      <w:r>
        <w:t xml:space="preserve">being wrong.</w:t>
      </w:r>
    </w:p>
    <w:bookmarkEnd w:id="50"/>
    <w:bookmarkStart w:id="62" w:name="Xf03a2ec591ea941af64cf80011c40faf645b904"/>
    <w:p>
      <w:pPr>
        <w:pStyle w:val="Heading1"/>
      </w:pPr>
      <w:r>
        <w:t xml:space="preserve">Distribution: four tiers, and what each one is actually for</w:t>
      </w:r>
    </w:p>
    <w:p>
      <w:pPr>
        <w:pStyle w:val="FirstParagraph"/>
      </w:pPr>
      <w:r>
        <w:t xml:space="preserve">The tiers are often drawn as a diagram and rarely explained as a set of</w:t>
      </w:r>
      <w:r>
        <w:t xml:space="preserve"> </w:t>
      </w:r>
      <w:r>
        <w:t xml:space="preserve">decisions. Each one exists to solve a different failure, and a site can stop at</w:t>
      </w:r>
      <w:r>
        <w:t xml:space="preserve"> </w:t>
      </w:r>
      <w:r>
        <w:t xml:space="preserve">any depth that matches its size.</w:t>
      </w:r>
    </w:p>
    <w:p>
      <w:pPr>
        <w:pStyle w:val="CaptionedFigure"/>
      </w:pPr>
      <w:r>
        <w:drawing>
          <wp:inline>
            <wp:extent cx="3093720" cy="2861260"/>
            <wp:effectExtent b="0" l="0" r="0" t="0"/>
            <wp:docPr descr="Publish at the top; a process calling open() at the bottom. A handful of clients need none of the middle. A cluster needs all of it - and the private Stratum 1 is what makes the whole arrangement survive losing the internet." title="" id="52" name="Picture"/>
            <a:graphic>
              <a:graphicData uri="http://schemas.openxmlformats.org/drawingml/2006/picture">
                <pic:pic>
                  <pic:nvPicPr>
                    <pic:cNvPr descr="diagrams/fig3-distribution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2861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Publish at the top; a process calling open() at the bottom. A handful of</w:t>
      </w:r>
      <w:r>
        <w:t xml:space="preserve"> </w:t>
      </w:r>
      <w:r>
        <w:t xml:space="preserve">clients need none of the middle. A cluster needs all of it - and the private</w:t>
      </w:r>
      <w:r>
        <w:t xml:space="preserve"> </w:t>
      </w:r>
      <w:r>
        <w:t xml:space="preserve">Stratum 1 is what makes the whole arrangement survive losing the</w:t>
      </w:r>
      <w:r>
        <w:t xml:space="preserve"> </w:t>
      </w:r>
      <w:r>
        <w:t xml:space="preserve">internet.</w:t>
      </w:r>
    </w:p>
    <w:p>
      <w:pPr>
        <w:pStyle w:val="BodyText"/>
      </w:pPr>
      <w:r>
        <w:rPr>
          <w:b/>
          <w:bCs/>
        </w:rPr>
        <w:t xml:space="preserve">Stratum 0 - the only writable copy.</w:t>
      </w:r>
      <w:r>
        <w:t xml:space="preserve"> </w:t>
      </w:r>
      <w:r>
        <w:t xml:space="preserve">One release-manager machine where</w:t>
      </w:r>
      <w:r>
        <w:t xml:space="preserve"> </w:t>
      </w:r>
      <w:r>
        <w:t xml:space="preserve">publishing happens. It is not load-bearing for readers, which is exactly why it</w:t>
      </w:r>
      <w:r>
        <w:t xml:space="preserve"> </w:t>
      </w:r>
      <w:r>
        <w:t xml:space="preserve">can be small and carefully controlled.</w:t>
      </w:r>
    </w:p>
    <w:p>
      <w:pPr>
        <w:pStyle w:val="BodyText"/>
      </w:pPr>
      <w:r>
        <w:rPr>
          <w:b/>
          <w:bCs/>
        </w:rPr>
        <w:t xml:space="preserve">Stratum 1 - a full replica, and your disconnect insurance.</w:t>
      </w:r>
      <w:r>
        <w:t xml:space="preserve"> </w:t>
      </w:r>
      <w:r>
        <w:t xml:space="preserve">Public mirrors sit</w:t>
      </w:r>
      <w:r>
        <w:t xml:space="preserve"> </w:t>
      </w:r>
      <w:r>
        <w:t xml:space="preserve">in Europe, the US and Asia. A private one inside your network reduces latency,</w:t>
      </w:r>
      <w:r>
        <w:t xml:space="preserve"> </w:t>
      </w:r>
      <w:r>
        <w:t xml:space="preserve">offloads the public infrastructure, and means a lost upstream link stops updates</w:t>
      </w:r>
      <w:r>
        <w:t xml:space="preserve"> </w:t>
      </w:r>
      <w:r>
        <w:t xml:space="preserve">rather than stopping work. For EESSI that is roughly 360 GB today, growing about</w:t>
      </w:r>
      <w:r>
        <w:t xml:space="preserve"> </w:t>
      </w:r>
      <w:r>
        <w:t xml:space="preserve">a gigabyte a day.</w:t>
      </w:r>
      <w:r>
        <w:rPr>
          <w:rStyle w:val="FootnoteReference"/>
        </w:rPr>
        <w:footnoteReference w:id="54"/>
      </w:r>
      <w:r>
        <w:rPr>
          <w:rStyle w:val="FootnoteReference"/>
        </w:rPr>
        <w:footnoteReference w:id="55"/>
      </w:r>
    </w:p>
    <w:p>
      <w:pPr>
        <w:pStyle w:val="BodyText"/>
      </w:pPr>
      <w:r>
        <w:rPr>
          <w:b/>
          <w:bCs/>
        </w:rPr>
        <w:t xml:space="preserve">Proxy - the tier that makes MPI start-up bearable.</w:t>
      </w:r>
      <w:r>
        <w:t xml:space="preserve"> </w:t>
      </w:r>
      <w:r>
        <w:t xml:space="preserve">A Squid proxy holds a</w:t>
      </w:r>
      <w:r>
        <w:t xml:space="preserve"> </w:t>
      </w:r>
      <w:r>
        <w:t xml:space="preserve">partial cache close to the clients. The rule of thumb is one per 100-500 worker</w:t>
      </w:r>
      <w:r>
        <w:t xml:space="preserve"> </w:t>
      </w:r>
      <w:r>
        <w:t xml:space="preserve">nodes and at least two for redundancy; the reason it matters most on large</w:t>
      </w:r>
      <w:r>
        <w:t xml:space="preserve"> </w:t>
      </w:r>
      <w:r>
        <w:t xml:space="preserve">parallel jobs is that every rank wants the same binaries at the same</w:t>
      </w:r>
      <w:r>
        <w:t xml:space="preserve"> </w:t>
      </w:r>
      <w:r>
        <w:t xml:space="preserve">instant.</w:t>
      </w:r>
      <w:r>
        <w:rPr>
          <w:rStyle w:val="FootnoteReference"/>
        </w:rPr>
        <w:footnoteReference w:id="56"/>
      </w:r>
      <w:r>
        <w:rPr>
          <w:rStyle w:val="FootnoteReference"/>
        </w:rPr>
        <w:footnoteReference w:id="57"/>
      </w:r>
    </w:p>
    <w:p>
      <w:pPr>
        <w:pStyle w:val="BodyText"/>
      </w:pPr>
      <w:r>
        <w:rPr>
          <w:b/>
          <w:bCs/>
        </w:rPr>
        <w:t xml:space="preserve">Client cache - where almost every read is answered.</w:t>
      </w:r>
      <w:r>
        <w:t xml:space="preserve"> </w:t>
      </w:r>
      <w:r>
        <w:t xml:space="preserve">On disk, LRU-evicted,</w:t>
      </w:r>
      <w:r>
        <w:t xml:space="preserve"> </w:t>
      </w:r>
      <w:r>
        <w:t xml:space="preserve">bounded by</w:t>
      </w:r>
      <w:r>
        <w:t xml:space="preserve"> </w:t>
      </w:r>
      <w:r>
        <w:rPr>
          <w:rStyle w:val="VerbatimChar"/>
        </w:rPr>
        <w:t xml:space="preserve">CVMFS_QUOTA_LIMIT</w:t>
      </w:r>
      <w:r>
        <w:t xml:space="preserve">. Once warm it is the fastest tier by a wide</w:t>
      </w:r>
      <w:r>
        <w:t xml:space="preserve"> </w:t>
      </w:r>
      <w:r>
        <w:t xml:space="preserve">margin, which is why the tuning that matters most is usually</w:t>
      </w:r>
      <w:r>
        <w:t xml:space="preserve"> </w:t>
      </w:r>
      <w:r>
        <w:t xml:space="preserve">“</w:t>
      </w:r>
      <w:r>
        <w:t xml:space="preserve">put it on the SSD</w:t>
      </w:r>
      <w:r>
        <w:t xml:space="preserve"> </w:t>
      </w:r>
      <w:r>
        <w:t xml:space="preserve">and make it big enough.</w:t>
      </w:r>
      <w:r>
        <w:t xml:space="preserve">”</w:t>
      </w:r>
    </w:p>
    <w:p>
      <w:pPr>
        <w:pStyle w:val="BodyText"/>
      </w:pPr>
      <w:r>
        <w:t xml:space="preserve">The entire client configuration is this:</w:t>
      </w:r>
    </w:p>
    <w:p>
      <w:pPr>
        <w:pStyle w:val="SourceCode"/>
      </w:pPr>
      <w:r>
        <w:rPr>
          <w:rStyle w:val="VerbatimChar"/>
        </w:rPr>
        <w:t xml:space="preserve"># /etc/cvmfs/default.local</w:t>
      </w:r>
      <w:r>
        <w:br/>
      </w:r>
      <w:r>
        <w:rPr>
          <w:rStyle w:val="VerbatimChar"/>
        </w:rPr>
        <w:t xml:space="preserve">CVMFS_HTTP_PROXY="http://proxy-a.example.com:3128|http://proxy-b.example.com:3128"</w:t>
      </w:r>
      <w:r>
        <w:br/>
      </w:r>
      <w:r>
        <w:rPr>
          <w:rStyle w:val="VerbatimChar"/>
        </w:rPr>
        <w:t xml:space="preserve">CVMFS_QUOTA_LIMIT=10000          # 10 GB of local cache</w:t>
      </w:r>
      <w:r>
        <w:br/>
      </w:r>
      <w:r>
        <w:rPr>
          <w:rStyle w:val="VerbatimChar"/>
        </w:rPr>
        <w:t xml:space="preserve">CVMFS_CACHE_BASE=/ssd/cvmfs      # put it on the fastest disk the node has</w:t>
      </w:r>
      <w:r>
        <w:br/>
      </w:r>
      <w:r>
        <w:br/>
      </w:r>
      <w:r>
        <w:rPr>
          <w:rStyle w:val="VerbatimChar"/>
        </w:rPr>
        <w:t xml:space="preserve"># then, once:</w:t>
      </w:r>
      <w:r>
        <w:br/>
      </w:r>
      <w:r>
        <w:rPr>
          <w:rStyle w:val="VerbatimChar"/>
        </w:rPr>
        <w:t xml:space="preserve">sudo cvmfs_config reload</w:t>
      </w:r>
      <w:r>
        <w:br/>
      </w:r>
      <w:r>
        <w:rPr>
          <w:rStyle w:val="VerbatimChar"/>
        </w:rPr>
        <w:t xml:space="preserve">ls /cvmfs/software.eessi.io      # mounted on demand by autofs</w:t>
      </w:r>
    </w:p>
    <w:bookmarkStart w:id="61" w:name="what-it-scales-to"/>
    <w:p>
      <w:pPr>
        <w:pStyle w:val="Heading2"/>
      </w:pPr>
      <w:r>
        <w:t xml:space="preserve">What it scales to</w:t>
      </w:r>
    </w:p>
    <w:p>
      <w:pPr>
        <w:pStyle w:val="FirstParagraph"/>
      </w:pPr>
      <w:r>
        <w:t xml:space="preserve">For the CernVM-FS installation at CERN, as of May 2026: around</w:t>
      </w:r>
      <w:r>
        <w:t xml:space="preserve"> </w:t>
      </w:r>
      <w:r>
        <w:rPr>
          <w:b/>
          <w:bCs/>
        </w:rPr>
        <w:t xml:space="preserve">15 Stratum 1</w:t>
      </w:r>
      <w:r>
        <w:t xml:space="preserve"> </w:t>
      </w:r>
      <w:r>
        <w:t xml:space="preserve">mirror servers, more than</w:t>
      </w:r>
      <w:r>
        <w:t xml:space="preserve"> </w:t>
      </w:r>
      <w:r>
        <w:rPr>
          <w:b/>
          <w:bCs/>
        </w:rPr>
        <w:t xml:space="preserve">33 billion files</w:t>
      </w:r>
      <w:r>
        <w:t xml:space="preserve"> </w:t>
      </w:r>
      <w:r>
        <w:t xml:space="preserve">in the</w:t>
      </w:r>
      <w:r>
        <w:t xml:space="preserve"> </w:t>
      </w:r>
      <w:r>
        <w:rPr>
          <w:rStyle w:val="VerbatimChar"/>
        </w:rPr>
        <w:t xml:space="preserve">/cvmfs</w:t>
      </w:r>
      <w:r>
        <w:t xml:space="preserve"> </w:t>
      </w:r>
      <w:r>
        <w:t xml:space="preserve">tree, roughly</w:t>
      </w:r>
      <w:r>
        <w:t xml:space="preserve"> </w:t>
      </w:r>
      <w:r>
        <w:rPr>
          <w:b/>
          <w:bCs/>
        </w:rPr>
        <w:t xml:space="preserve">2 PB</w:t>
      </w:r>
      <w:r>
        <w:t xml:space="preserve"> </w:t>
      </w:r>
      <w:r>
        <w:t xml:space="preserve">accessible and proven to 100 PB, and about</w:t>
      </w:r>
      <w:r>
        <w:t xml:space="preserve"> </w:t>
      </w:r>
      <w:r>
        <w:rPr>
          <w:b/>
          <w:bCs/>
        </w:rPr>
        <w:t xml:space="preserve">290 repositories</w:t>
      </w:r>
      <w:r>
        <w:t xml:space="preserve"> </w:t>
      </w:r>
      <w:r>
        <w:t xml:space="preserve">including more than 8,000 container images.</w:t>
      </w:r>
      <w:r>
        <w:rPr>
          <w:rStyle w:val="FootnoteReference"/>
        </w:rPr>
        <w:footnoteReference w:id="58"/>
      </w:r>
      <w:r>
        <w:rPr>
          <w:rStyle w:val="FootnoteReference"/>
        </w:rPr>
        <w:footnoteReference w:id="59"/>
      </w:r>
    </w:p>
    <w:p>
      <w:pPr>
        <w:pStyle w:val="BodyText"/>
      </w:pPr>
      <w:r>
        <w:rPr>
          <w:i/>
          <w:iCs/>
        </w:rPr>
        <w:t xml:space="preserve">Why this matters.</w:t>
      </w:r>
      <w:r>
        <w:t xml:space="preserve"> </w:t>
      </w:r>
      <w:r>
        <w:t xml:space="preserve">The tiers are separable. A workstation needs none of them; a</w:t>
      </w:r>
      <w:r>
        <w:t xml:space="preserve"> </w:t>
      </w:r>
      <w:r>
        <w:t xml:space="preserve">hundred nodes need a proxy; an air-gapped estate needs a private Stratum 1 and</w:t>
      </w:r>
      <w:r>
        <w:t xml:space="preserve"> </w:t>
      </w:r>
      <w:r>
        <w:t xml:space="preserve">nothing else changes. The operational commitment can be sized to the deployment</w:t>
      </w:r>
      <w:r>
        <w:t xml:space="preserve"> </w:t>
      </w:r>
      <w:r>
        <w:t xml:space="preserve">rather than to the architecture diagram.</w:t>
      </w:r>
    </w:p>
    <w:bookmarkEnd w:id="61"/>
    <w:bookmarkEnd w:id="62"/>
    <w:bookmarkStart w:id="68" w:name="Xa05251a4b4bb8e220ab6e5b36ac86ac1ad5dc17"/>
    <w:p>
      <w:pPr>
        <w:pStyle w:val="Heading1"/>
      </w:pPr>
      <w:r>
        <w:t xml:space="preserve">Performance: faster than the parallel filesystem you already own</w:t>
      </w:r>
    </w:p>
    <w:p>
      <w:pPr>
        <w:pStyle w:val="FirstParagraph"/>
      </w:pPr>
      <w:r>
        <w:t xml:space="preserve">This is the result that surprises people. Loading software is a small-file,</w:t>
      </w:r>
      <w:r>
        <w:t xml:space="preserve"> </w:t>
      </w:r>
      <w:r>
        <w:t xml:space="preserve">high-metadata workload, and the large parallel filesystems an HPC site has bought</w:t>
      </w:r>
      <w:r>
        <w:t xml:space="preserve"> </w:t>
      </w:r>
      <w:r>
        <w:t xml:space="preserve">- GPFS, Lustre - are tuned for the opposite. Importing one Python package</w:t>
      </w:r>
      <w:r>
        <w:t xml:space="preserve"> </w:t>
      </w:r>
      <w:r>
        <w:t xml:space="preserve">touches roughly 3,500 files totalling about 1.1 GB, most of them tiny.</w:t>
      </w:r>
      <w:r>
        <w:rPr>
          <w:rStyle w:val="FootnoteReference"/>
        </w:rPr>
        <w:footnoteReference w:id="63"/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432"/>
        <w:gridCol w:w="3696"/>
        <w:gridCol w:w="792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Where the software lives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 to import the package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Local SSD or ramdisk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~2 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floor. Not a realistic way to run a cluster.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NFS, lightly loaded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slower than local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Workable at small scale; degrades with concurrency.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GPFS / Lustre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30-60 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Even with a hot pagepool. Better when SSD-backed.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CernVM-FS, cold cache, distant mirror, no proxy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worst case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Latency-bound. The configuration to avoid.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CernVM-FS, cold cache, near Stratum 1 + proxy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dramatically better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tiers doing what they exist for.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CernVM-FS, warm client cache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approx. local disk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steady state on any node that has run the job before.</w:t>
            </w:r>
          </w:p>
        </w:tc>
      </w:tr>
    </w:tbl>
    <w:p>
      <w:pPr>
        <w:pStyle w:val="BodyText"/>
      </w:pPr>
      <w:r>
        <w:t xml:space="preserve">Measurements from the CernVM-FS training material, May 2026.</w:t>
      </w:r>
      <w:r>
        <w:rPr>
          <w:rStyle w:val="FootnoteReference"/>
        </w:rPr>
        <w:footnoteReference w:id="64"/>
      </w:r>
      <w:r>
        <w:t xml:space="preserve"> </w:t>
      </w:r>
      <w:r>
        <w:t xml:space="preserve">The shape of the</w:t>
      </w:r>
      <w:r>
        <w:t xml:space="preserve"> </w:t>
      </w:r>
      <w:r>
        <w:t xml:space="preserve">result - not the exact seconds - is the transferable part: caching close to the</w:t>
      </w:r>
      <w:r>
        <w:t xml:space="preserve"> </w:t>
      </w:r>
      <w:r>
        <w:t xml:space="preserve">client beats a fast filesystem far from it, for this workload.</w:t>
      </w:r>
    </w:p>
    <w:p>
      <w:pPr>
        <w:pStyle w:val="CaptionedFigure"/>
      </w:pPr>
      <w:r>
        <w:drawing>
          <wp:inline>
            <wp:extent cx="5334000" cy="2365438"/>
            <wp:effectExtent b="0" l="0" r="0" t="0"/>
            <wp:docPr descr="Why it can be both enormous and fast. A module load resolves to a closure, not to a package, and only that closure crosses the wire - lazily, cached after first touch. The catalogue can grow without bound because nothing pays for the parts it does not open." title="" id="66" name="Picture"/>
            <a:graphic>
              <a:graphicData uri="http://schemas.openxmlformats.org/drawingml/2006/picture">
                <pic:pic>
                  <pic:nvPicPr>
                    <pic:cNvPr descr="diagrams/fig4-lazy-fetch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654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Why it can be both enormous and fast. A module load resolves to a closure, not</w:t>
      </w:r>
      <w:r>
        <w:t xml:space="preserve"> </w:t>
      </w:r>
      <w:r>
        <w:t xml:space="preserve">to a package, and only that closure crosses the wire - lazily, cached after</w:t>
      </w:r>
      <w:r>
        <w:t xml:space="preserve"> </w:t>
      </w:r>
      <w:r>
        <w:t xml:space="preserve">first touch. The catalogue can grow without bound because nothing pays for the</w:t>
      </w:r>
      <w:r>
        <w:t xml:space="preserve"> </w:t>
      </w:r>
      <w:r>
        <w:t xml:space="preserve">parts it does not open.</w:t>
      </w:r>
    </w:p>
    <w:p>
      <w:pPr>
        <w:pStyle w:val="BodyText"/>
      </w:pPr>
      <w:r>
        <w:rPr>
          <w:i/>
          <w:iCs/>
        </w:rPr>
        <w:t xml:space="preserve">Why this matters.</w:t>
      </w:r>
      <w:r>
        <w:t xml:space="preserve"> </w:t>
      </w:r>
      <w:r>
        <w:t xml:space="preserve">It removes the trade-off the room is expecting. The usual</w:t>
      </w:r>
      <w:r>
        <w:t xml:space="preserve"> </w:t>
      </w:r>
      <w:r>
        <w:t xml:space="preserve">assumption is that provenance and central control cost you speed, so the argument</w:t>
      </w:r>
      <w:r>
        <w:t xml:space="preserve"> </w:t>
      </w:r>
      <w:r>
        <w:t xml:space="preserve">becomes rigour versus researchers’ time. Here the architecture that gives you the</w:t>
      </w:r>
      <w:r>
        <w:t xml:space="preserve"> </w:t>
      </w:r>
      <w:r>
        <w:t xml:space="preserve">audit position is also the one that starts jobs faster than the storage you</w:t>
      </w:r>
      <w:r>
        <w:t xml:space="preserve"> </w:t>
      </w:r>
      <w:r>
        <w:t xml:space="preserve">already paid for.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  <w:i/>
          <w:iCs/>
        </w:rPr>
        <w:t xml:space="preserve">Part III - One architecture, two implementations.</w:t>
      </w:r>
      <w:r>
        <w:t xml:space="preserve"> </w:t>
      </w:r>
      <w:r>
        <w:rPr>
          <w:i/>
          <w:iCs/>
        </w:rPr>
        <w:t xml:space="preserve">Two national</w:t>
      </w:r>
      <w:r>
        <w:rPr>
          <w:i/>
          <w:iCs/>
        </w:rPr>
        <w:t xml:space="preserve"> </w:t>
      </w:r>
      <w:r>
        <w:rPr>
          <w:i/>
          <w:iCs/>
        </w:rPr>
        <w:t xml:space="preserve">programmes, a decade apart, built the same four-layer stack and filled the middle</w:t>
      </w:r>
      <w:r>
        <w:rPr>
          <w:i/>
          <w:iCs/>
        </w:rPr>
        <w:t xml:space="preserve"> </w:t>
      </w:r>
      <w:r>
        <w:rPr>
          <w:i/>
          <w:iCs/>
        </w:rPr>
        <w:t xml:space="preserve">slot with different software. Both work.</w:t>
      </w:r>
    </w:p>
    <w:bookmarkEnd w:id="68"/>
    <w:bookmarkStart w:id="83" w:name="X80fe88479bdd85f6c27be8a238365f56465ac08"/>
    <w:p>
      <w:pPr>
        <w:pStyle w:val="Heading1"/>
      </w:pPr>
      <w:r>
        <w:t xml:space="preserve">The architecture: four layers, and why the middle one is a role</w:t>
      </w:r>
    </w:p>
    <w:p>
      <w:pPr>
        <w:pStyle w:val="FirstParagraph"/>
      </w:pPr>
      <w:r>
        <w:t xml:space="preserve">Host operating system, filesystem layer, compatibility layer, software layer. The</w:t>
      </w:r>
      <w:r>
        <w:t xml:space="preserve"> </w:t>
      </w:r>
      <w:r>
        <w:t xml:space="preserve">decomposition is stated the same way by both programmes, which is itself worth</w:t>
      </w:r>
      <w:r>
        <w:t xml:space="preserve"> </w:t>
      </w:r>
      <w:r>
        <w:t xml:space="preserve">noticing - it was arrived at twice.</w:t>
      </w:r>
      <w:r>
        <w:rPr>
          <w:rStyle w:val="FootnoteReference"/>
        </w:rPr>
        <w:footnoteReference w:id="69"/>
      </w:r>
      <w:r>
        <w:rPr>
          <w:rStyle w:val="FootnoteReference"/>
        </w:rPr>
        <w:footnoteReference w:id="71"/>
      </w:r>
      <w:r>
        <w:rPr>
          <w:rStyle w:val="FootnoteReference"/>
        </w:rPr>
        <w:footnoteReference w:id="73"/>
      </w:r>
    </w:p>
    <w:p>
      <w:pPr>
        <w:pStyle w:val="CaptionedFigure"/>
      </w:pPr>
      <w:r>
        <w:drawing>
          <wp:inline>
            <wp:extent cx="1813560" cy="2918883"/>
            <wp:effectExtent b="0" l="0" r="0" t="0"/>
            <wp:docPr descr="Read bottom to top: the host keeps the kernel and the drivers and gives up nothing else; CernVM-FS delivers; the compatibility layer removes the host’s userland from the picture; the software layer is what a person selects from." title="" id="76" name="Picture"/>
            <a:graphic>
              <a:graphicData uri="http://schemas.openxmlformats.org/drawingml/2006/picture">
                <pic:pic>
                  <pic:nvPicPr>
                    <pic:cNvPr descr="diagrams/fig5-four-layers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29188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Read bottom to top: the host keeps the kernel and the drivers and gives up</w:t>
      </w:r>
      <w:r>
        <w:t xml:space="preserve"> </w:t>
      </w:r>
      <w:r>
        <w:t xml:space="preserve">nothing else; CernVM-FS delivers; the compatibility layer removes the host’s</w:t>
      </w:r>
      <w:r>
        <w:t xml:space="preserve"> </w:t>
      </w:r>
      <w:r>
        <w:t xml:space="preserve">userland from the picture; the software layer is what a person selects</w:t>
      </w:r>
      <w:r>
        <w:t xml:space="preserve"> </w:t>
      </w:r>
      <w:r>
        <w:t xml:space="preserve">from.</w:t>
      </w:r>
    </w:p>
    <w:p>
      <w:pPr>
        <w:pStyle w:val="BodyText"/>
      </w:pPr>
      <w:r>
        <w:rPr>
          <w:b/>
          <w:bCs/>
        </w:rPr>
        <w:t xml:space="preserve">Host OS - smaller than you expect.</w:t>
      </w:r>
      <w:r>
        <w:t xml:space="preserve"> </w:t>
      </w:r>
      <w:r>
        <w:t xml:space="preserve">Kernel, daemons, drivers,</w:t>
      </w:r>
      <w:r>
        <w:t xml:space="preserve"> </w:t>
      </w:r>
      <w:r>
        <w:rPr>
          <w:rStyle w:val="VerbatimChar"/>
        </w:rPr>
        <w:t xml:space="preserve">libcuda</w:t>
      </w:r>
      <w:r>
        <w:t xml:space="preserve">,</w:t>
      </w:r>
      <w:r>
        <w:t xml:space="preserve"> </w:t>
      </w:r>
      <w:r>
        <w:t xml:space="preserve">anything privileged. That is the whole list. It is short deliberately: every item</w:t>
      </w:r>
      <w:r>
        <w:t xml:space="preserve"> </w:t>
      </w:r>
      <w:r>
        <w:t xml:space="preserve">on it is something that has to be true per machine and can therefore differ</w:t>
      </w:r>
      <w:r>
        <w:t xml:space="preserve"> </w:t>
      </w:r>
      <w:r>
        <w:t xml:space="preserve">between machines.</w:t>
      </w:r>
    </w:p>
    <w:p>
      <w:pPr>
        <w:pStyle w:val="BodyText"/>
      </w:pPr>
      <w:r>
        <w:rPr>
          <w:b/>
          <w:bCs/>
        </w:rPr>
        <w:t xml:space="preserve">Filesystem layer - how the tree arrives.</w:t>
      </w:r>
      <w:r>
        <w:t xml:space="preserve"> </w:t>
      </w:r>
      <w:r>
        <w:t xml:space="preserve">CernVM-FS in both implementations.</w:t>
      </w:r>
      <w:r>
        <w:t xml:space="preserve"> </w:t>
      </w:r>
      <w:r>
        <w:t xml:space="preserve">This is the layer Part II was about, and the one neither programme has ever</w:t>
      </w:r>
      <w:r>
        <w:t xml:space="preserve"> </w:t>
      </w:r>
      <w:r>
        <w:t xml:space="preserve">swapped.</w:t>
      </w:r>
    </w:p>
    <w:p>
      <w:pPr>
        <w:pStyle w:val="BodyText"/>
      </w:pPr>
      <w:r>
        <w:rPr>
          <w:b/>
          <w:bCs/>
        </w:rPr>
        <w:t xml:space="preserve">Compatibility layer - the interesting one.</w:t>
      </w:r>
      <w:r>
        <w:t xml:space="preserve"> </w:t>
      </w:r>
      <w:r>
        <w:t xml:space="preserve">A complete userland - its own</w:t>
      </w:r>
      <w:r>
        <w:t xml:space="preserve"> </w:t>
      </w:r>
      <w:r>
        <w:t xml:space="preserve">loader, its own glibc, its own coreutils - installed in a non-standard prefix.</w:t>
      </w:r>
      <w:r>
        <w:t xml:space="preserve"> </w:t>
      </w:r>
      <w:r>
        <w:t xml:space="preserve">Everything above depends on it and nothing above depends on the host’s</w:t>
      </w:r>
      <w:r>
        <w:t xml:space="preserve"> </w:t>
      </w:r>
      <w:r>
        <w:rPr>
          <w:rStyle w:val="VerbatimChar"/>
        </w:rPr>
        <w:t xml:space="preserve">/usr</w:t>
      </w:r>
      <w:r>
        <w:t xml:space="preserve">.</w:t>
      </w:r>
      <w:r>
        <w:t xml:space="preserve"> </w:t>
      </w:r>
      <w:r>
        <w:t xml:space="preserve">This is the layer that makes</w:t>
      </w:r>
      <w:r>
        <w:t xml:space="preserve"> </w:t>
      </w:r>
      <w:r>
        <w:t xml:space="preserve">“</w:t>
      </w:r>
      <w:r>
        <w:t xml:space="preserve">runs on RHEL 8 and on a current laptop</w:t>
      </w:r>
      <w:r>
        <w:t xml:space="preserve">”</w:t>
      </w:r>
      <w:r>
        <w:t xml:space="preserve"> </w:t>
      </w:r>
      <w:r>
        <w:t xml:space="preserve">a property</w:t>
      </w:r>
      <w:r>
        <w:t xml:space="preserve"> </w:t>
      </w:r>
      <w:r>
        <w:t xml:space="preserve">rather than an aspiration.</w:t>
      </w:r>
    </w:p>
    <w:p>
      <w:pPr>
        <w:pStyle w:val="BodyText"/>
      </w:pPr>
      <w:r>
        <w:rPr>
          <w:b/>
          <w:bCs/>
        </w:rPr>
        <w:t xml:space="preserve">Software layer - the part with the science in it.</w:t>
      </w:r>
      <w:r>
        <w:t xml:space="preserve"> </w:t>
      </w:r>
      <w:r>
        <w:t xml:space="preserve">Every scientific</w:t>
      </w:r>
      <w:r>
        <w:t xml:space="preserve"> </w:t>
      </w:r>
      <w:r>
        <w:t xml:space="preserve">application, built against the compatibility layer by EasyBuild, presented by</w:t>
      </w:r>
      <w:r>
        <w:t xml:space="preserve"> </w:t>
      </w:r>
      <w:r>
        <w:t xml:space="preserve">Lmod, and built more than once - one subtree per CPU microarchitecture.</w:t>
      </w:r>
    </w:p>
    <w:bookmarkStart w:id="82" w:name="Xaffb0d0b540f0e9db8d7da6c376414a4b45202d"/>
    <w:p>
      <w:pPr>
        <w:pStyle w:val="Heading2"/>
      </w:pPr>
      <w:r>
        <w:t xml:space="preserve">The observation that makes this worth adopting</w:t>
      </w:r>
    </w:p>
    <w:p>
      <w:pPr>
        <w:pStyle w:val="FirstParagraph"/>
      </w:pPr>
      <w:r>
        <w:t xml:space="preserve">Canada filled the compatibility slot with Nix. Later they replaced it with Gentoo</w:t>
      </w:r>
      <w:r>
        <w:t xml:space="preserve"> </w:t>
      </w:r>
      <w:r>
        <w:t xml:space="preserve">Prefix. EESSI chose Gentoo Prefix from the start.</w:t>
      </w:r>
      <w:r>
        <w:rPr>
          <w:rStyle w:val="FootnoteReference"/>
        </w:rPr>
        <w:footnoteReference w:id="78"/>
      </w:r>
      <w:r>
        <w:rPr>
          <w:rStyle w:val="FootnoteReference"/>
        </w:rPr>
        <w:footnoteReference w:id="80"/>
      </w:r>
      <w:r>
        <w:rPr>
          <w:rStyle w:val="FootnoteReference"/>
        </w:rPr>
        <w:footnoteReference w:id="81"/>
      </w:r>
      <w:r>
        <w:t xml:space="preserve"> </w:t>
      </w:r>
      <w:r>
        <w:t xml:space="preserve">Three</w:t>
      </w:r>
      <w:r>
        <w:t xml:space="preserve"> </w:t>
      </w:r>
      <w:r>
        <w:t xml:space="preserve">configurations, two programmes, one working architecture each time - and</w:t>
      </w:r>
      <w:r>
        <w:t xml:space="preserve"> </w:t>
      </w:r>
      <w:r>
        <w:t xml:space="preserve">critically, the layers above and below the swapped one did not change when it was</w:t>
      </w:r>
      <w:r>
        <w:t xml:space="preserve"> </w:t>
      </w:r>
      <w:r>
        <w:t xml:space="preserve">swapped.</w:t>
      </w:r>
    </w:p>
    <w:p>
      <w:pPr>
        <w:pStyle w:val="BodyText"/>
      </w:pPr>
      <w:r>
        <w:rPr>
          <w:i/>
          <w:iCs/>
        </w:rPr>
        <w:t xml:space="preserve">Why this matters.</w:t>
      </w:r>
      <w:r>
        <w:t xml:space="preserve"> </w:t>
      </w:r>
      <w:r>
        <w:t xml:space="preserve">It converts a technology bet into an architectural choice.</w:t>
      </w:r>
      <w:r>
        <w:t xml:space="preserve"> </w:t>
      </w:r>
      <w:r>
        <w:t xml:space="preserve">Adopting this model does not require being right about which prefix</w:t>
      </w:r>
      <w:r>
        <w:t xml:space="preserve"> </w:t>
      </w:r>
      <w:r>
        <w:t xml:space="preserve">implementation wins, because the slot has already been refilled once in</w:t>
      </w:r>
      <w:r>
        <w:t xml:space="preserve"> </w:t>
      </w:r>
      <w:r>
        <w:t xml:space="preserve">production without disturbing anything else. That is a materially different risk</w:t>
      </w:r>
      <w:r>
        <w:t xml:space="preserve"> </w:t>
      </w:r>
      <w:r>
        <w:t xml:space="preserve">profile from picking a vendor.</w:t>
      </w:r>
    </w:p>
    <w:bookmarkEnd w:id="82"/>
    <w:bookmarkEnd w:id="83"/>
    <w:bookmarkStart w:id="97" w:name="X19b3ae975199cfa87c32570334854c8a27cbe90"/>
    <w:p>
      <w:pPr>
        <w:pStyle w:val="Heading1"/>
      </w:pPr>
      <w:r>
        <w:t xml:space="preserve">The compatibility layer: a complete userland that is not the host’s</w:t>
      </w:r>
    </w:p>
    <w:p>
      <w:pPr>
        <w:pStyle w:val="FirstParagraph"/>
      </w:pPr>
      <w:r>
        <w:t xml:space="preserve">A prefix is a full operating system userland installed somewhere other than</w:t>
      </w:r>
      <w:r>
        <w:t xml:space="preserve"> </w:t>
      </w:r>
      <w:r>
        <w:rPr>
          <w:rStyle w:val="VerbatimChar"/>
        </w:rPr>
        <w:t xml:space="preserve">/</w:t>
      </w:r>
      <w:r>
        <w:t xml:space="preserve"> </w:t>
      </w:r>
      <w:r>
        <w:t xml:space="preserve">-</w:t>
      </w:r>
      <w:r>
        <w:t xml:space="preserve"> </w:t>
      </w:r>
      <w:r>
        <w:t xml:space="preserve">glibc, coreutils, bash, awk, grep, make, autotools, binutils, OpenSSL, and a</w:t>
      </w:r>
      <w:r>
        <w:t xml:space="preserve"> </w:t>
      </w:r>
      <w:r>
        <w:t xml:space="preserve">compiler - built from source, without root.</w:t>
      </w:r>
      <w:r>
        <w:rPr>
          <w:rStyle w:val="FootnoteReference"/>
        </w:rPr>
        <w:footnoteReference w:id="84"/>
      </w:r>
      <w:r>
        <w:t xml:space="preserve"> </w:t>
      </w:r>
      <w:r>
        <w:t xml:space="preserve">Software above it links against</w:t>
      </w:r>
      <w:r>
        <w:t xml:space="preserve"> </w:t>
      </w:r>
      <w:r>
        <w:t xml:space="preserve">it and never against the host, so the host’s age stops being a constraint on</w:t>
      </w:r>
      <w:r>
        <w:t xml:space="preserve"> </w:t>
      </w:r>
      <w:r>
        <w:t xml:space="preserve">anything except the kernel.</w:t>
      </w:r>
    </w:p>
    <w:p>
      <w:pPr>
        <w:pStyle w:val="CaptionedFigure"/>
      </w:pPr>
      <w:r>
        <w:drawing>
          <wp:inline>
            <wp:extent cx="3200400" cy="2325176"/>
            <wp:effectExtent b="0" l="0" r="0" t="0"/>
            <wp:docPr descr="Where the boundary actually falls. The two red boxes are what can never come off the tree; the purple one is the honest grey area - libraries that live in the prefix but are properties of the site’s hardware, and so have to stay swappable at runtime." title="" id="87" name="Picture"/>
            <a:graphic>
              <a:graphicData uri="http://schemas.openxmlformats.org/drawingml/2006/picture">
                <pic:pic>
                  <pic:nvPicPr>
                    <pic:cNvPr descr="diagrams/fig6-prefix-boundary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251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Where the boundary actually falls. The two red boxes are what can never come</w:t>
      </w:r>
      <w:r>
        <w:t xml:space="preserve"> </w:t>
      </w:r>
      <w:r>
        <w:t xml:space="preserve">off the tree; the purple one is the honest grey area - libraries that live in</w:t>
      </w:r>
      <w:r>
        <w:t xml:space="preserve"> </w:t>
      </w:r>
      <w:r>
        <w:t xml:space="preserve">the prefix but are properties of the site’s hardware, and so have to stay</w:t>
      </w:r>
      <w:r>
        <w:t xml:space="preserve"> </w:t>
      </w:r>
      <w:r>
        <w:t xml:space="preserve">swappable at runtime.</w:t>
      </w:r>
    </w:p>
    <w:p>
      <w:pPr>
        <w:pStyle w:val="BodyText"/>
      </w:pPr>
      <w:r>
        <w:rPr>
          <w:b/>
          <w:bCs/>
        </w:rPr>
        <w:t xml:space="preserve">The mechanism is a custom ELF interpreter.</w:t>
      </w:r>
      <w:r>
        <w:t xml:space="preserve"> </w:t>
      </w:r>
      <w:r>
        <w:t xml:space="preserve">The prefix ships its own dynamic</w:t>
      </w:r>
      <w:r>
        <w:t xml:space="preserve"> </w:t>
      </w:r>
      <w:r>
        <w:t xml:space="preserve">loader and every binary in it is linked to use that one instead of the host’s.</w:t>
      </w:r>
      <w:r>
        <w:t xml:space="preserve"> </w:t>
      </w:r>
      <w:r>
        <w:t xml:space="preserve">This is the single technical fact the whole layer rests on, and it is also the</w:t>
      </w:r>
      <w:r>
        <w:t xml:space="preserve"> </w:t>
      </w:r>
      <w:r>
        <w:t xml:space="preserve">source of most of the friction below.</w:t>
      </w:r>
    </w:p>
    <w:p>
      <w:pPr>
        <w:pStyle w:val="BodyText"/>
      </w:pPr>
      <w:r>
        <w:rPr>
          <w:b/>
          <w:bCs/>
        </w:rPr>
        <w:t xml:space="preserve">It carries dependencies, not science.</w:t>
      </w:r>
      <w:r>
        <w:t xml:space="preserve"> </w:t>
      </w:r>
      <w:r>
        <w:t xml:space="preserve">Bash, Git, Vim, X11, TeX Live - the</w:t>
      </w:r>
      <w:r>
        <w:t xml:space="preserve"> </w:t>
      </w:r>
      <w:r>
        <w:t xml:space="preserve">things nobody publishes a paper about and everything breaks without. Newer than</w:t>
      </w:r>
      <w:r>
        <w:t xml:space="preserve"> </w:t>
      </w:r>
      <w:r>
        <w:t xml:space="preserve">the enterprise distribution ships, which is the point.</w:t>
      </w:r>
      <w:r>
        <w:rPr>
          <w:rStyle w:val="FootnoteReference"/>
        </w:rPr>
        <w:footnoteReference w:id="89"/>
      </w:r>
    </w:p>
    <w:p>
      <w:pPr>
        <w:pStyle w:val="BodyText"/>
      </w:pPr>
      <w:r>
        <w:rPr>
          <w:b/>
          <w:bCs/>
        </w:rPr>
        <w:t xml:space="preserve">The grey area is named, not hidden.</w:t>
      </w:r>
      <w:r>
        <w:t xml:space="preserve"> </w:t>
      </w:r>
      <w:r>
        <w:t xml:space="preserve">Lustre client libraries and InfiniBand or</w:t>
      </w:r>
      <w:r>
        <w:t xml:space="preserve"> </w:t>
      </w:r>
      <w:r>
        <w:t xml:space="preserve">OmniPath libraries are dependencies of the MPI in the tree, but they are also</w:t>
      </w:r>
      <w:r>
        <w:t xml:space="preserve"> </w:t>
      </w:r>
      <w:r>
        <w:t xml:space="preserve">properties of the site’s hardware. They live in the prefix and can be overridden</w:t>
      </w:r>
      <w:r>
        <w:t xml:space="preserve"> </w:t>
      </w:r>
      <w:r>
        <w:t xml:space="preserve">per site at runtime.</w:t>
      </w:r>
      <w:r>
        <w:rPr>
          <w:rStyle w:val="FootnoteReference"/>
        </w:rPr>
        <w:footnoteReference w:id="90"/>
      </w:r>
    </w:p>
    <w:p>
      <w:pPr>
        <w:pStyle w:val="BodyText"/>
      </w:pPr>
      <w:r>
        <w:rPr>
          <w:b/>
          <w:bCs/>
        </w:rPr>
        <w:t xml:space="preserve">Anything privileged stays on the host.</w:t>
      </w:r>
      <w:r>
        <w:t xml:space="preserve"> </w:t>
      </w:r>
      <w:r>
        <w:t xml:space="preserve">The kernel, daemons, drivers,</w:t>
      </w:r>
      <w:r>
        <w:t xml:space="preserve"> </w:t>
      </w:r>
      <w:r>
        <w:rPr>
          <w:rStyle w:val="VerbatimChar"/>
        </w:rPr>
        <w:t xml:space="preserve">libcuda</w:t>
      </w:r>
      <w:r>
        <w:t xml:space="preserve">,</w:t>
      </w:r>
      <w:r>
        <w:t xml:space="preserve"> </w:t>
      </w:r>
      <w:r>
        <w:rPr>
          <w:rStyle w:val="VerbatimChar"/>
        </w:rPr>
        <w:t xml:space="preserve">sudo</w:t>
      </w:r>
      <w:r>
        <w:t xml:space="preserve">. Also anything legally restricted - licensed software sits in a</w:t>
      </w:r>
      <w:r>
        <w:t xml:space="preserve"> </w:t>
      </w:r>
      <w:r>
        <w:t xml:space="preserve">separate, restricted repository rather than in the public tree.</w:t>
      </w:r>
      <w:r>
        <w:rPr>
          <w:rStyle w:val="FootnoteReference"/>
        </w:rPr>
        <w:footnoteReference w:id="91"/>
      </w:r>
    </w:p>
    <w:bookmarkStart w:id="94" w:name="why-nix-was-replaced-in-their-words"/>
    <w:p>
      <w:pPr>
        <w:pStyle w:val="Heading2"/>
      </w:pPr>
      <w:r>
        <w:t xml:space="preserve">Why Nix was replaced, in their words</w:t>
      </w:r>
    </w:p>
    <w:p>
      <w:pPr>
        <w:pStyle w:val="FirstParagraph"/>
      </w:pPr>
      <w:r>
        <w:t xml:space="preserve">Canada ran a single read-only Nix profile for the 2016 and 2018 environments and</w:t>
      </w:r>
      <w:r>
        <w:t xml:space="preserve"> </w:t>
      </w:r>
      <w:r>
        <w:t xml:space="preserve">moved to Gentoo Prefix for 2020. The post-mortem is worth reading because it is a</w:t>
      </w:r>
      <w:r>
        <w:t xml:space="preserve"> </w:t>
      </w:r>
      <w:r>
        <w:t xml:space="preserve">failure of interaction rather than of the tool.</w:t>
      </w:r>
      <w:r>
        <w:rPr>
          <w:rStyle w:val="FootnoteReference"/>
        </w:rPr>
        <w:footnoteReference w:id="92"/>
      </w:r>
      <w:r>
        <w:rPr>
          <w:rStyle w:val="FootnoteReference"/>
        </w:rPr>
        <w:footnoteReference w:id="93"/>
      </w:r>
    </w:p>
    <w:p>
      <w:pPr>
        <w:pStyle w:val="BodyText"/>
      </w:pPr>
      <w:r>
        <w:rPr>
          <w:b/>
          <w:bCs/>
        </w:rPr>
        <w:t xml:space="preserve">Store hashes leaked upward.</w:t>
      </w:r>
      <w:r>
        <w:t xml:space="preserve"> </w:t>
      </w:r>
      <w:r>
        <w:t xml:space="preserve">Despite wrapping the linker, Nix store paths</w:t>
      </w:r>
      <w:r>
        <w:t xml:space="preserve"> </w:t>
      </w:r>
      <w:r>
        <w:t xml:space="preserve">found their way into EasyBuild-compiled software through CMake, qmake and Python</w:t>
      </w:r>
      <w:r>
        <w:t xml:space="preserve"> </w:t>
      </w:r>
      <w:r>
        <w:t xml:space="preserve">virtualenvs. A path that encodes a hash is only immutable if nothing copies it</w:t>
      </w:r>
      <w:r>
        <w:t xml:space="preserve"> </w:t>
      </w:r>
      <w:r>
        <w:t xml:space="preserve">somewhere that outlives it.</w:t>
      </w:r>
    </w:p>
    <w:p>
      <w:pPr>
        <w:pStyle w:val="BodyText"/>
      </w:pPr>
      <w:r>
        <w:rPr>
          <w:b/>
          <w:bCs/>
        </w:rPr>
        <w:t xml:space="preserve">And garbage collection was destructive.</w:t>
      </w:r>
      <w:r>
        <w:t xml:space="preserve"> </w:t>
      </w:r>
      <w:r>
        <w:t xml:space="preserve">Upgrading a component changes its</w:t>
      </w:r>
      <w:r>
        <w:t xml:space="preserve"> </w:t>
      </w:r>
      <w:r>
        <w:t xml:space="preserve">store hash, which is the feature; collecting the old one out from under something</w:t>
      </w:r>
      <w:r>
        <w:t xml:space="preserve"> </w:t>
      </w:r>
      <w:r>
        <w:t xml:space="preserve">that had recorded the old path is the consequence. The verdict was that Nix is</w:t>
      </w:r>
      <w:r>
        <w:t xml:space="preserve"> </w:t>
      </w:r>
      <w:r>
        <w:t xml:space="preserve">better used as a top layer with a writable store, and that HPC users know</w:t>
      </w:r>
      <w:r>
        <w:t xml:space="preserve"> </w:t>
      </w:r>
      <w:r>
        <w:t xml:space="preserve">environment modules rather than Nix’s tools.</w:t>
      </w:r>
    </w:p>
    <w:p>
      <w:pPr>
        <w:pStyle w:val="BlockText"/>
      </w:pPr>
      <w:r>
        <w:t xml:space="preserve">Gentoo Prefix: no symlinks, no store leak, minimal solution.</w:t>
      </w:r>
    </w:p>
    <w:p>
      <w:pPr>
        <w:pStyle w:val="BlockText"/>
      </w:pPr>
      <w:r>
        <w:t xml:space="preserve">— Digital Research Alliance of Canada, on the 2020 migration</w:t>
      </w:r>
    </w:p>
    <w:bookmarkEnd w:id="94"/>
    <w:bookmarkStart w:id="96" w:name="what-it-actually-costs-to-run-one"/>
    <w:p>
      <w:pPr>
        <w:pStyle w:val="Heading2"/>
      </w:pPr>
      <w:r>
        <w:t xml:space="preserve">What it actually costs to run one</w:t>
      </w:r>
    </w:p>
    <w:p>
      <w:pPr>
        <w:pStyle w:val="FirstParagraph"/>
      </w:pPr>
      <w:r>
        <w:t xml:space="preserve">The prefix is the layer that generates support tickets, and a page that omits</w:t>
      </w:r>
      <w:r>
        <w:t xml:space="preserve"> </w:t>
      </w:r>
      <w:r>
        <w:t xml:space="preserve">them is not useful to anyone who has to operate this. All five of these are</w:t>
      </w:r>
      <w:r>
        <w:t xml:space="preserve"> </w:t>
      </w:r>
      <w:r>
        <w:t xml:space="preserve">documented by the people running it in production.</w:t>
      </w:r>
      <w:r>
        <w:rPr>
          <w:rStyle w:val="FootnoteReference"/>
        </w:rPr>
        <w:footnoteReference w:id="95"/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Downloaded binaries have to be patched.</w:t>
      </w:r>
      <w:r>
        <w:t xml:space="preserve"> </w:t>
      </w:r>
      <w:r>
        <w:t xml:space="preserve">A vendor binary is linked against</w:t>
      </w:r>
      <w:r>
        <w:t xml:space="preserve"> </w:t>
      </w:r>
      <w:r>
        <w:t xml:space="preserve">the host’s loader and will not run. A script walks them and rewrites the</w:t>
      </w:r>
      <w:r>
        <w:t xml:space="preserve"> </w:t>
      </w:r>
      <w:r>
        <w:t xml:space="preserve">interpreter with</w:t>
      </w:r>
      <w:r>
        <w:t xml:space="preserve"> </w:t>
      </w:r>
      <w:r>
        <w:rPr>
          <w:rStyle w:val="VerbatimChar"/>
        </w:rPr>
        <w:t xml:space="preserve">patchelf --set-interpreter</w:t>
      </w:r>
      <w:r>
        <w:t xml:space="preserve">. It works, and it is a step that</w:t>
      </w:r>
      <w:r>
        <w:t xml:space="preserve"> </w:t>
      </w:r>
      <w:r>
        <w:t xml:space="preserve">has to exist.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 stale line in a user’s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.bashrc</w:t>
      </w:r>
      <w:r>
        <w:rPr>
          <w:b/>
          <w:bCs/>
        </w:rPr>
        <w:t xml:space="preserve"> </w:t>
      </w:r>
      <w:r>
        <w:rPr>
          <w:b/>
          <w:bCs/>
        </w:rPr>
        <w:t xml:space="preserve">breaks everything.</w:t>
      </w:r>
      <w:r>
        <w:t xml:space="preserve"> </w:t>
      </w:r>
      <w:r>
        <w:rPr>
          <w:rStyle w:val="VerbatimChar"/>
        </w:rPr>
        <w:t xml:space="preserve">LD_LIBRARY_PATH=/usr/lib64</w:t>
      </w:r>
      <w:r>
        <w:t xml:space="preserve">, usually set years ago by accident, puts the</w:t>
      </w:r>
      <w:r>
        <w:t xml:space="preserve"> </w:t>
      </w:r>
      <w:r>
        <w:t xml:space="preserve">host’s libraries ahead of the prefix’s and most tools stop working. The</w:t>
      </w:r>
      <w:r>
        <w:t xml:space="preserve"> </w:t>
      </w:r>
      <w:r>
        <w:t xml:space="preserve">diagnosis is easy once and expensive the first fifty times.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Anaconda and Julia ship binaries that do not always work.</w:t>
      </w:r>
      <w:r>
        <w:t xml:space="preserve"> </w:t>
      </w:r>
      <w:r>
        <w:t xml:space="preserve">Both distribute</w:t>
      </w:r>
      <w:r>
        <w:t xml:space="preserve"> </w:t>
      </w:r>
      <w:r>
        <w:t xml:space="preserve">pre-built components that assume a standard layout. The Canadian answer is a</w:t>
      </w:r>
      <w:r>
        <w:t xml:space="preserve"> </w:t>
      </w:r>
      <w:r>
        <w:t xml:space="preserve">wheelhouse - more than seventeen thousand Python wheels compiled against the</w:t>
      </w:r>
      <w:r>
        <w:t xml:space="preserve"> </w:t>
      </w:r>
      <w:r>
        <w:t xml:space="preserve">stack - and actively discouraging Anaconda, because a user who installs it</w:t>
      </w:r>
      <w:r>
        <w:t xml:space="preserve"> </w:t>
      </w:r>
      <w:r>
        <w:t xml:space="preserve">can end up with their own unoptimised Open MPI.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host writes to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/var</w:t>
      </w:r>
      <w:r>
        <w:rPr>
          <w:b/>
          <w:bCs/>
        </w:rPr>
        <w:t xml:space="preserve"> </w:t>
      </w:r>
      <w:r>
        <w:rPr>
          <w:b/>
          <w:bCs/>
        </w:rPr>
        <w:t xml:space="preserve">and the prefix reads from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$EPREFIX/var</w:t>
      </w:r>
      <w:r>
        <w:rPr>
          <w:b/>
          <w:bCs/>
        </w:rPr>
        <w:t xml:space="preserve">.</w:t>
      </w:r>
      <w:r>
        <w:t xml:space="preserve"> </w:t>
      </w:r>
      <w:r>
        <w:t xml:space="preserve">So</w:t>
      </w:r>
      <w:r>
        <w:t xml:space="preserve"> </w:t>
      </w:r>
      <w:r>
        <w:rPr>
          <w:rStyle w:val="VerbatimChar"/>
        </w:rPr>
        <w:t xml:space="preserve">who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last</w:t>
      </w:r>
      <w:r>
        <w:t xml:space="preserve"> </w:t>
      </w:r>
      <w:r>
        <w:t xml:space="preserve">read an empty file. Fixed by patching</w:t>
      </w:r>
      <w:r>
        <w:t xml:space="preserve"> </w:t>
      </w:r>
      <w:r>
        <w:rPr>
          <w:rStyle w:val="VerbatimChar"/>
        </w:rPr>
        <w:t xml:space="preserve">paths.h</w:t>
      </w:r>
      <w:r>
        <w:t xml:space="preserve"> </w:t>
      </w:r>
      <w:r>
        <w:t xml:space="preserve">rather than</w:t>
      </w:r>
      <w:r>
        <w:t xml:space="preserve"> </w:t>
      </w:r>
      <w:r>
        <w:t xml:space="preserve">by symlinking - a small thing, and a good example of the class.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There is one runtime C++ library, centrally.</w:t>
      </w:r>
      <w:r>
        <w:t xml:space="preserve"> </w:t>
      </w:r>
      <w:r>
        <w:rPr>
          <w:rStyle w:val="VerbatimChar"/>
        </w:rPr>
        <w:t xml:space="preserve">libstdc++</w:t>
      </w:r>
      <w:r>
        <w:t xml:space="preserve"> </w:t>
      </w:r>
      <w:r>
        <w:t xml:space="preserve">comes from the</w:t>
      </w:r>
      <w:r>
        <w:t xml:space="preserve"> </w:t>
      </w:r>
      <w:r>
        <w:t xml:space="preserve">compatibility layer rather than from each compiler build. That is slightly</w:t>
      </w:r>
      <w:r>
        <w:t xml:space="preserve"> </w:t>
      </w:r>
      <w:r>
        <w:t xml:space="preserve">off-piste from upstream, and it is what lets builds against different GCC</w:t>
      </w:r>
      <w:r>
        <w:t xml:space="preserve"> </w:t>
      </w:r>
      <w:r>
        <w:t xml:space="preserve">versions collapse to one module level instead of multiplying.</w:t>
      </w:r>
    </w:p>
    <w:p>
      <w:pPr>
        <w:pStyle w:val="FirstParagraph"/>
      </w:pPr>
      <w:r>
        <w:rPr>
          <w:i/>
          <w:iCs/>
        </w:rPr>
        <w:t xml:space="preserve">Why this matters.</w:t>
      </w:r>
      <w:r>
        <w:t xml:space="preserve"> </w:t>
      </w:r>
      <w:r>
        <w:t xml:space="preserve">This is the layer to evaluate honestly before adopting,</w:t>
      </w:r>
      <w:r>
        <w:t xml:space="preserve"> </w:t>
      </w:r>
      <w:r>
        <w:t xml:space="preserve">because it is where the work is. The upside is total: the host’s age stops</w:t>
      </w:r>
      <w:r>
        <w:t xml:space="preserve"> </w:t>
      </w:r>
      <w:r>
        <w:t xml:space="preserve">constraining anything above the kernel. The cost is a small, well-documented set</w:t>
      </w:r>
      <w:r>
        <w:t xml:space="preserve"> </w:t>
      </w:r>
      <w:r>
        <w:t xml:space="preserve">of sharp edges that every site hits in the same order - which is a much better</w:t>
      </w:r>
      <w:r>
        <w:t xml:space="preserve"> </w:t>
      </w:r>
      <w:r>
        <w:t xml:space="preserve">position than a set nobody has written down.</w:t>
      </w:r>
    </w:p>
    <w:bookmarkEnd w:id="96"/>
    <w:bookmarkEnd w:id="97"/>
    <w:bookmarkStart w:id="117" w:name="Xd74b28ffbe28a3dcacfb07e7d98db88a49b1c6c"/>
    <w:p>
      <w:pPr>
        <w:pStyle w:val="Heading1"/>
      </w:pPr>
      <w:r>
        <w:t xml:space="preserve">Build and selection: EasyBuild records it, Lmod makes it choosable</w:t>
      </w:r>
    </w:p>
    <w:p>
      <w:pPr>
        <w:pStyle w:val="FirstParagraph"/>
      </w:pPr>
      <w:r>
        <w:t xml:space="preserve">These two are usually named together and do entirely different jobs. EasyBuild</w:t>
      </w:r>
      <w:r>
        <w:t xml:space="preserve"> </w:t>
      </w:r>
      <w:r>
        <w:t xml:space="preserve">turns a build into a recorded, repeatable specification. Lmod turns ten thousand</w:t>
      </w:r>
      <w:r>
        <w:t xml:space="preserve"> </w:t>
      </w:r>
      <w:r>
        <w:t xml:space="preserve">build permutations into something a person can navigate.</w:t>
      </w:r>
      <w:r>
        <w:rPr>
          <w:rStyle w:val="FootnoteReference"/>
        </w:rPr>
        <w:footnoteReference w:id="98"/>
      </w:r>
      <w:r>
        <w:rPr>
          <w:rStyle w:val="FootnoteReference"/>
        </w:rPr>
        <w:footnoteReference w:id="100"/>
      </w:r>
      <w:r>
        <w:rPr>
          <w:rStyle w:val="FootnoteReference"/>
        </w:rPr>
        <w:footnoteReference w:id="102"/>
      </w:r>
      <w:r>
        <w:t xml:space="preserve"> </w:t>
      </w:r>
      <w:r>
        <w:t xml:space="preserve">Neither</w:t>
      </w:r>
      <w:r>
        <w:t xml:space="preserve"> </w:t>
      </w:r>
      <w:r>
        <w:t xml:space="preserve">idea is new - environment modules date to 1991</w:t>
      </w:r>
      <w:r>
        <w:rPr>
          <w:rStyle w:val="FootnoteReference"/>
        </w:rPr>
        <w:footnoteReference w:id="104"/>
      </w:r>
      <w:r>
        <w:t xml:space="preserve"> </w:t>
      </w:r>
      <w:r>
        <w:t xml:space="preserve">and Lmod is the Lua</w:t>
      </w:r>
      <w:r>
        <w:t xml:space="preserve"> </w:t>
      </w:r>
      <w:r>
        <w:t xml:space="preserve">re-implementation that made a hierarchy practical</w:t>
      </w:r>
      <w:r>
        <w:rPr>
          <w:rStyle w:val="FootnoteReference"/>
        </w:rPr>
        <w:footnoteReference w:id="105"/>
      </w:r>
      <w:r>
        <w:t xml:space="preserve"> </w:t>
      </w:r>
      <w:r>
        <w:t xml:space="preserve">- which is worth knowing,</w:t>
      </w:r>
      <w:r>
        <w:t xml:space="preserve"> </w:t>
      </w:r>
      <w:r>
        <w:t xml:space="preserve">because it means the interface a researcher learns here is one they have probably</w:t>
      </w:r>
      <w:r>
        <w:t xml:space="preserve"> </w:t>
      </w:r>
      <w:r>
        <w:t xml:space="preserve">already met.</w:t>
      </w:r>
    </w:p>
    <w:p>
      <w:pPr>
        <w:pStyle w:val="CaptionedFigure"/>
      </w:pPr>
      <w:r>
        <w:drawing>
          <wp:inline>
            <wp:extent cx="3840480" cy="2288199"/>
            <wp:effectExtent b="0" l="0" r="0" t="0"/>
            <wp:docPr descr="Three inputs, one installation - and the detail that carries the reproducibility claim: the easyconfig is copied into the install directory and into an archive on every successful build. The record is a by-product of installing, not something anyone has to remember to write down." title="" id="108" name="Picture"/>
            <a:graphic>
              <a:graphicData uri="http://schemas.openxmlformats.org/drawingml/2006/picture">
                <pic:pic>
                  <pic:nvPicPr>
                    <pic:cNvPr descr="diagrams/fig7-easyconfig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2881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Three inputs, one installation - and the detail that carries the</w:t>
      </w:r>
      <w:r>
        <w:t xml:space="preserve"> </w:t>
      </w:r>
      <w:r>
        <w:t xml:space="preserve">reproducibility claim: the easyconfig is copied into the install directory and</w:t>
      </w:r>
      <w:r>
        <w:t xml:space="preserve"> </w:t>
      </w:r>
      <w:r>
        <w:t xml:space="preserve">into an archive on every successful build. The record is a by-product of</w:t>
      </w:r>
      <w:r>
        <w:t xml:space="preserve"> </w:t>
      </w:r>
      <w:r>
        <w:t xml:space="preserve">installing, not something anyone has to remember to write</w:t>
      </w:r>
      <w:r>
        <w:t xml:space="preserve"> </w:t>
      </w:r>
      <w:r>
        <w:t xml:space="preserve">down.</w:t>
      </w:r>
    </w:p>
    <w:p>
      <w:pPr>
        <w:pStyle w:val="BodyText"/>
      </w:pPr>
      <w:r>
        <w:rPr>
          <w:b/>
          <w:bCs/>
        </w:rPr>
        <w:t xml:space="preserve">easyconfig - the complete specification.</w:t>
      </w:r>
      <w:r>
        <w:t xml:space="preserve"> </w:t>
      </w:r>
      <w:r>
        <w:t xml:space="preserve">A plain text file of key-value</w:t>
      </w:r>
      <w:r>
        <w:t xml:space="preserve"> </w:t>
      </w:r>
      <w:r>
        <w:t xml:space="preserve">assignments naming the sources, the checksums, the toolchain, the options and the</w:t>
      </w:r>
      <w:r>
        <w:t xml:space="preserve"> </w:t>
      </w:r>
      <w:r>
        <w:t xml:space="preserve">dependencies. One easyconfig yields one installation and one computed module</w:t>
      </w:r>
      <w:r>
        <w:t xml:space="preserve"> </w:t>
      </w:r>
      <w:r>
        <w:t xml:space="preserve">name.</w:t>
      </w:r>
    </w:p>
    <w:p>
      <w:pPr>
        <w:pStyle w:val="BodyText"/>
      </w:pPr>
      <w:r>
        <w:rPr>
          <w:b/>
          <w:bCs/>
        </w:rPr>
        <w:t xml:space="preserve">easyblock - how this kind of software builds.</w:t>
      </w:r>
      <w:r>
        <w:t xml:space="preserve"> </w:t>
      </w:r>
      <w:r>
        <w:t xml:space="preserve">Python that implements the</w:t>
      </w:r>
      <w:r>
        <w:t xml:space="preserve"> </w:t>
      </w:r>
      <w:r>
        <w:t xml:space="preserve">build procedure. Generic ones cover CMake or autotools; software-specific ones</w:t>
      </w:r>
      <w:r>
        <w:t xml:space="preserve"> </w:t>
      </w:r>
      <w:r>
        <w:t xml:space="preserve">exist where a package insists on being unusual. The unusualness lives here, once,</w:t>
      </w:r>
      <w:r>
        <w:t xml:space="preserve"> </w:t>
      </w:r>
      <w:r>
        <w:t xml:space="preserve">instead of in everyone’s notes.</w:t>
      </w:r>
    </w:p>
    <w:p>
      <w:pPr>
        <w:pStyle w:val="BodyText"/>
      </w:pPr>
      <w:r>
        <w:rPr>
          <w:b/>
          <w:bCs/>
        </w:rPr>
        <w:t xml:space="preserve">toolchain - the compiler and libraries as one versioned thing.</w:t>
      </w:r>
      <w:r>
        <w:t xml:space="preserve"> </w:t>
      </w:r>
      <w:r>
        <w:rPr>
          <w:rStyle w:val="VerbatimChar"/>
        </w:rPr>
        <w:t xml:space="preserve">foss/2023a</w:t>
      </w:r>
      <w:r>
        <w:t xml:space="preserve"> </w:t>
      </w:r>
      <w:r>
        <w:t xml:space="preserve">is GCC, Open MPI, a BLAS and FFTW, pinned together and released as a generation.</w:t>
      </w:r>
      <w:r>
        <w:t xml:space="preserve"> </w:t>
      </w:r>
      <w:r>
        <w:t xml:space="preserve">Naming the generation is what makes</w:t>
      </w:r>
      <w:r>
        <w:t xml:space="preserve"> </w:t>
      </w:r>
      <w:r>
        <w:t xml:space="preserve">“</w:t>
      </w:r>
      <w:r>
        <w:t xml:space="preserve">built the same way</w:t>
      </w:r>
      <w:r>
        <w:t xml:space="preserve">”</w:t>
      </w:r>
      <w:r>
        <w:t xml:space="preserve"> </w:t>
      </w:r>
      <w:r>
        <w:t xml:space="preserve">a checkable statement</w:t>
      </w:r>
      <w:r>
        <w:t xml:space="preserve"> </w:t>
      </w:r>
      <w:r>
        <w:t xml:space="preserve">rather than a recollection.</w:t>
      </w:r>
    </w:p>
    <w:p>
      <w:pPr>
        <w:pStyle w:val="BodyText"/>
      </w:pPr>
      <w:r>
        <w:rPr>
          <w:b/>
          <w:bCs/>
        </w:rPr>
        <w:t xml:space="preserve">And the easyconfig is kept, inside the installation.</w:t>
      </w:r>
      <w:r>
        <w:t xml:space="preserve"> </w:t>
      </w:r>
      <w:r>
        <w:t xml:space="preserve">This is the part worth</w:t>
      </w:r>
      <w:r>
        <w:t xml:space="preserve"> </w:t>
      </w:r>
      <w:r>
        <w:t xml:space="preserve">insisting on. Reproducing a build is reading a file that shipped with it, not</w:t>
      </w:r>
      <w:r>
        <w:t xml:space="preserve"> </w:t>
      </w:r>
      <w:r>
        <w:t xml:space="preserve">reconstructing what someone did. Provenance is the mechanism’s output rather than</w:t>
      </w:r>
      <w:r>
        <w:t xml:space="preserve"> </w:t>
      </w:r>
      <w:r>
        <w:t xml:space="preserve">anyone’s discipline.</w:t>
      </w:r>
    </w:p>
    <w:p>
      <w:pPr>
        <w:pStyle w:val="CaptionedFigure"/>
      </w:pPr>
      <w:r>
        <w:drawing>
          <wp:inline>
            <wp:extent cx="3093720" cy="2802881"/>
            <wp:effectExtent b="0" l="0" r="0" t="0"/>
            <wp:docPr descr="Why the hierarchy is not decoration. Loading a compiler extends MODULEPATH, which is what makes the matching builds visible and the mismatched ones unreachable. The red box is the name you would otherwise have to type - and get right." title="" id="111" name="Picture"/>
            <a:graphic>
              <a:graphicData uri="http://schemas.openxmlformats.org/drawingml/2006/picture">
                <pic:pic>
                  <pic:nvPicPr>
                    <pic:cNvPr descr="diagrams/fig8-lmod-hierarchy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28028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Why the hierarchy is not decoration. Loading a compiler extends MODULEPATH,</w:t>
      </w:r>
      <w:r>
        <w:t xml:space="preserve"> </w:t>
      </w:r>
      <w:r>
        <w:t xml:space="preserve">which is what makes the matching builds visible and the mismatched ones</w:t>
      </w:r>
      <w:r>
        <w:t xml:space="preserve"> </w:t>
      </w:r>
      <w:r>
        <w:t xml:space="preserve">unreachable. The red box is the name you would otherwise have to type - and get</w:t>
      </w:r>
      <w:r>
        <w:t xml:space="preserve"> </w:t>
      </w:r>
      <w:r>
        <w:t xml:space="preserve">right.</w:t>
      </w:r>
    </w:p>
    <w:p>
      <w:pPr>
        <w:pStyle w:val="SourceCode"/>
      </w:pPr>
      <w:r>
        <w:rPr>
          <w:rStyle w:val="VerbatimChar"/>
        </w:rPr>
        <w:t xml:space="preserve">$ module load fftw</w:t>
      </w:r>
      <w:r>
        <w:br/>
      </w:r>
      <w:r>
        <w:rPr>
          <w:rStyle w:val="VerbatimChar"/>
        </w:rPr>
        <w:t xml:space="preserve">Lmod has detected the following error: These module(s) exist but cannot be</w:t>
      </w:r>
      <w:r>
        <w:br/>
      </w:r>
      <w:r>
        <w:rPr>
          <w:rStyle w:val="VerbatimChar"/>
        </w:rPr>
        <w:t xml:space="preserve">loaded as requested: "fftw"</w:t>
      </w:r>
      <w:r>
        <w:br/>
      </w:r>
      <w:r>
        <w:rPr>
          <w:rStyle w:val="VerbatimChar"/>
        </w:rPr>
        <w:t xml:space="preserve">   Try: "module spider fftw" to see how to load the module(s).</w:t>
      </w:r>
      <w:r>
        <w:br/>
      </w:r>
      <w:r>
        <w:br/>
      </w:r>
      <w:r>
        <w:rPr>
          <w:rStyle w:val="VerbatimChar"/>
        </w:rPr>
        <w:t xml:space="preserve">$ module spider fftw/3.3.10</w:t>
      </w:r>
      <w:r>
        <w:br/>
      </w:r>
      <w:r>
        <w:rPr>
          <w:rStyle w:val="VerbatimChar"/>
        </w:rPr>
        <w:t xml:space="preserve">  You will need to load all module(s) on one of the lines below first:</w:t>
      </w:r>
      <w:r>
        <w:br/>
      </w:r>
      <w:r>
        <w:rPr>
          <w:rStyle w:val="VerbatimChar"/>
        </w:rPr>
        <w:t xml:space="preserve">     gcc/12.3  openmpi/4.1.5</w:t>
      </w:r>
      <w:r>
        <w:br/>
      </w:r>
      <w:r>
        <w:br/>
      </w:r>
      <w:r>
        <w:rPr>
          <w:rStyle w:val="VerbatimChar"/>
        </w:rPr>
        <w:t xml:space="preserve">$ module load gcc/12.3 openmpi/4.1.5 fftw/3.3.10   # and now it is visible</w:t>
      </w:r>
    </w:p>
    <w:p>
      <w:pPr>
        <w:pStyle w:val="FirstParagraph"/>
      </w:pPr>
      <w:r>
        <w:rPr>
          <w:b/>
          <w:bCs/>
        </w:rPr>
        <w:t xml:space="preserve">Incompatible combinations are unreachable, not discouraged.</w:t>
      </w:r>
      <w:r>
        <w:t xml:space="preserve"> </w:t>
      </w:r>
      <w:r>
        <w:t xml:space="preserve">In a flat layout,</w:t>
      </w:r>
      <w:r>
        <w:t xml:space="preserve"> </w:t>
      </w:r>
      <w:r>
        <w:t xml:space="preserve">conflicts are declared and become fragile as compilers are added. In a hierarchy,</w:t>
      </w:r>
      <w:r>
        <w:t xml:space="preserve"> </w:t>
      </w:r>
      <w:r>
        <w:t xml:space="preserve">loading a compiler is what makes the builds against it appear at all - so a user</w:t>
      </w:r>
      <w:r>
        <w:t xml:space="preserve"> </w:t>
      </w:r>
      <w:r>
        <w:t xml:space="preserve">cannot assemble a combination that was never built.</w:t>
      </w:r>
    </w:p>
    <w:p>
      <w:pPr>
        <w:pStyle w:val="BodyText"/>
      </w:pPr>
      <w:r>
        <w:rPr>
          <w:b/>
          <w:bCs/>
        </w:rPr>
        <w:t xml:space="preserve">Architecture belongs in the hierarchy, not in the name.</w:t>
      </w:r>
      <w:r>
        <w:t xml:space="preserve"> </w:t>
      </w:r>
      <w:r>
        <w:t xml:space="preserve">This is the Canadian</w:t>
      </w:r>
      <w:r>
        <w:t xml:space="preserve"> </w:t>
      </w:r>
      <w:r>
        <w:t xml:space="preserve">design decision worth copying. Around a thousand applications across four CPU</w:t>
      </w:r>
      <w:r>
        <w:t xml:space="preserve"> </w:t>
      </w:r>
      <w:r>
        <w:t xml:space="preserve">generations and four GPU generations produce ten thousand or more permutations.</w:t>
      </w:r>
      <w:r>
        <w:t xml:space="preserve"> </w:t>
      </w:r>
      <w:r>
        <w:t xml:space="preserve">Put the architecture in the tree and a user sees</w:t>
      </w:r>
      <w:r>
        <w:t xml:space="preserve"> </w:t>
      </w:r>
      <w:r>
        <w:rPr>
          <w:rStyle w:val="VerbatimChar"/>
        </w:rPr>
        <w:t xml:space="preserve">fftw/3.3.10</w:t>
      </w:r>
      <w:r>
        <w:t xml:space="preserve">. Put it in the name</w:t>
      </w:r>
      <w:r>
        <w:t xml:space="preserve"> </w:t>
      </w:r>
      <w:r>
        <w:t xml:space="preserve">and they see the permutation count.</w:t>
      </w:r>
      <w:r>
        <w:rPr>
          <w:rStyle w:val="FootnoteReference"/>
        </w:rPr>
        <w:footnoteReference w:id="113"/>
      </w:r>
      <w:r>
        <w:rPr>
          <w:rStyle w:val="FootnoteReference"/>
        </w:rPr>
        <w:footnoteReference w:id="114"/>
      </w:r>
    </w:p>
    <w:p>
      <w:pPr>
        <w:pStyle w:val="BodyText"/>
      </w:pPr>
      <w:r>
        <w:t xml:space="preserve">EasyBuild is not the only credible answer in this layer.</w:t>
      </w:r>
      <w:r>
        <w:t xml:space="preserve"> </w:t>
      </w:r>
      <w:r>
        <w:rPr>
          <w:b/>
          <w:bCs/>
        </w:rPr>
        <w:t xml:space="preserve">Spack</w:t>
      </w:r>
      <w:r>
        <w:t xml:space="preserve"> </w:t>
      </w:r>
      <w:r>
        <w:t xml:space="preserve">solves the same</w:t>
      </w:r>
      <w:r>
        <w:t xml:space="preserve"> </w:t>
      </w:r>
      <w:r>
        <w:t xml:space="preserve">problem with a different model - a dependency solver and per-installation hashes</w:t>
      </w:r>
      <w:r>
        <w:t xml:space="preserve"> </w:t>
      </w:r>
      <w:r>
        <w:t xml:space="preserve">rather than named toolchain generations - and is worth evaluating on its own</w:t>
      </w:r>
      <w:r>
        <w:t xml:space="preserve"> </w:t>
      </w:r>
      <w:r>
        <w:t xml:space="preserve">terms.</w:t>
      </w:r>
      <w:r>
        <w:rPr>
          <w:rStyle w:val="FootnoteReference"/>
        </w:rPr>
        <w:footnoteReference w:id="115"/>
      </w:r>
      <w:r>
        <w:t xml:space="preserve"> </w:t>
      </w:r>
      <w:r>
        <w:t xml:space="preserve">Both stacks described here chose EasyBuild, and the architecture</w:t>
      </w:r>
      <w:r>
        <w:t xml:space="preserve"> </w:t>
      </w:r>
      <w:r>
        <w:t xml:space="preserve">around it does not depend on that choice: the build layer is as replaceable as the</w:t>
      </w:r>
      <w:r>
        <w:t xml:space="preserve"> </w:t>
      </w:r>
      <w:r>
        <w:t xml:space="preserve">compatibility layer turned out to be.</w:t>
      </w:r>
    </w:p>
    <w:p>
      <w:pPr>
        <w:pStyle w:val="BodyText"/>
      </w:pPr>
      <w:r>
        <w:rPr>
          <w:i/>
          <w:iCs/>
        </w:rPr>
        <w:t xml:space="preserve">Why this matters.</w:t>
      </w:r>
      <w:r>
        <w:t xml:space="preserve"> </w:t>
      </w:r>
      <w:r>
        <w:t xml:space="preserve">Together these are what stop the catalogue’s complexity from</w:t>
      </w:r>
      <w:r>
        <w:t xml:space="preserve"> </w:t>
      </w:r>
      <w:r>
        <w:t xml:space="preserve">reaching the person using it. The build side records everything; the selection</w:t>
      </w:r>
      <w:r>
        <w:t xml:space="preserve"> </w:t>
      </w:r>
      <w:r>
        <w:t xml:space="preserve">side hides everything that is not a choice. Get either half wrong and the stack is</w:t>
      </w:r>
      <w:r>
        <w:t xml:space="preserve"> </w:t>
      </w:r>
      <w:r>
        <w:t xml:space="preserve">technically sound and practically unusable.</w:t>
      </w:r>
    </w:p>
    <w:bookmarkEnd w:id="117"/>
    <w:bookmarkStart w:id="130" w:name="X7a4a689dc2c6b5132ad72eae6f5ff213f66b33b"/>
    <w:p>
      <w:pPr>
        <w:pStyle w:val="Heading1"/>
      </w:pPr>
      <w:r>
        <w:t xml:space="preserve">The Canadian stack: the one that has been in production the longest</w:t>
      </w:r>
    </w:p>
    <w:p>
      <w:pPr>
        <w:pStyle w:val="FirstParagraph"/>
      </w:pPr>
      <w:r>
        <w:t xml:space="preserve">Canada’s national research systems have run a single shared software stack across</w:t>
      </w:r>
      <w:r>
        <w:t xml:space="preserve"> </w:t>
      </w:r>
      <w:r>
        <w:t xml:space="preserve">every site since 2017: one catalogue, one scheduler, one way of installing</w:t>
      </w:r>
      <w:r>
        <w:t xml:space="preserve"> </w:t>
      </w:r>
      <w:r>
        <w:t xml:space="preserve">things, administered nationally and mounted everywhere.</w:t>
      </w:r>
      <w:r>
        <w:rPr>
          <w:rStyle w:val="FootnoteReference"/>
        </w:rPr>
        <w:footnoteReference w:id="118"/>
      </w:r>
      <w:r>
        <w:rPr>
          <w:rStyle w:val="FootnoteReference"/>
        </w:rPr>
        <w:footnoteReference w:id="119"/>
      </w:r>
      <w:r>
        <w:t xml:space="preserve"> </w:t>
      </w:r>
      <w:r>
        <w:t xml:space="preserve">It is the</w:t>
      </w:r>
      <w:r>
        <w:t xml:space="preserve"> </w:t>
      </w:r>
      <w:r>
        <w:t xml:space="preserve">reference implementation, and it is public - you can mount it from anywhere</w:t>
      </w:r>
      <w:r>
        <w:t xml:space="preserve"> </w:t>
      </w:r>
      <w:r>
        <w:t xml:space="preserve">today.</w:t>
      </w:r>
    </w:p>
    <w:p>
      <w:pPr>
        <w:pStyle w:val="SourceCode"/>
      </w:pPr>
      <w:r>
        <w:rPr>
          <w:rStyle w:val="VerbatimChar"/>
        </w:rPr>
        <w:t xml:space="preserve"># the Alliance stack - public, mountable anywhere</w:t>
      </w:r>
      <w:r>
        <w:br/>
      </w:r>
      <w:r>
        <w:rPr>
          <w:rStyle w:val="VerbatimChar"/>
        </w:rPr>
        <w:t xml:space="preserve">source /cvmfs/soft.computecanada.ca/config/profile/bash.sh</w:t>
      </w:r>
      <w:r>
        <w:br/>
      </w:r>
      <w:r>
        <w:rPr>
          <w:rStyle w:val="VerbatimChar"/>
        </w:rPr>
        <w:t xml:space="preserve">module load StdEnv/2023</w:t>
      </w:r>
      <w:r>
        <w:br/>
      </w:r>
      <w:r>
        <w:br/>
      </w:r>
      <w:r>
        <w:rPr>
          <w:rStyle w:val="VerbatimChar"/>
        </w:rPr>
        <w:t xml:space="preserve"># EESSI - in the default CernVM-FS configuration since November 2023</w:t>
      </w:r>
      <w:r>
        <w:br/>
      </w:r>
      <w:r>
        <w:rPr>
          <w:rStyle w:val="VerbatimChar"/>
        </w:rPr>
        <w:t xml:space="preserve">source /cvmfs/software.eessi.io/versions/2023.06/init/bash</w:t>
      </w:r>
      <w:r>
        <w:br/>
      </w:r>
      <w:r>
        <w:rPr>
          <w:rStyle w:val="VerbatimChar"/>
        </w:rPr>
        <w:t xml:space="preserve">module load R/4.3.2-gfbf-2023a</w:t>
      </w:r>
      <w:r>
        <w:br/>
      </w:r>
      <w:r>
        <w:br/>
      </w:r>
      <w:r>
        <w:rPr>
          <w:rStyle w:val="VerbatimChar"/>
        </w:rPr>
        <w:t xml:space="preserve"># in both cases the next line is the whole user interface</w:t>
      </w:r>
      <w:r>
        <w:br/>
      </w:r>
      <w:r>
        <w:rPr>
          <w:rStyle w:val="VerbatimChar"/>
        </w:rPr>
        <w:t xml:space="preserve">which R</w:t>
      </w:r>
    </w:p>
    <w:p>
      <w:pPr>
        <w:pStyle w:val="FirstParagraph"/>
      </w:pPr>
      <w:r>
        <w:rPr>
          <w:b/>
          <w:bCs/>
        </w:rPr>
        <w:t xml:space="preserve">Two layers, two paths.</w:t>
      </w:r>
      <w:r>
        <w:t xml:space="preserve"> </w:t>
      </w:r>
      <w:r>
        <w:t xml:space="preserve">The EasyBuild layer under</w:t>
      </w:r>
      <w:r>
        <w:t xml:space="preserve"> </w:t>
      </w:r>
      <w:r>
        <w:rPr>
          <w:rStyle w:val="VerbatimChar"/>
        </w:rPr>
        <w:t xml:space="preserve">easybuild/{modules,software}/2023</w:t>
      </w:r>
      <w:r>
        <w:t xml:space="preserve"> </w:t>
      </w:r>
      <w:r>
        <w:t xml:space="preserve">and the compatibility layer under</w:t>
      </w:r>
      <w:r>
        <w:t xml:space="preserve"> </w:t>
      </w:r>
      <w:r>
        <w:rPr>
          <w:rStyle w:val="VerbatimChar"/>
        </w:rPr>
        <w:t xml:space="preserve">gentoo/2023/x86-64-v3</w:t>
      </w:r>
      <w:r>
        <w:t xml:space="preserve">. Loading the</w:t>
      </w:r>
      <w:r>
        <w:t xml:space="preserve"> </w:t>
      </w:r>
      <w:r>
        <w:rPr>
          <w:rStyle w:val="VerbatimChar"/>
        </w:rPr>
        <w:t xml:space="preserve">gentoo/2023</w:t>
      </w:r>
      <w:r>
        <w:t xml:space="preserve"> </w:t>
      </w:r>
      <w:r>
        <w:t xml:space="preserve">module sets</w:t>
      </w:r>
      <w:r>
        <w:t xml:space="preserve"> </w:t>
      </w:r>
      <w:r>
        <w:rPr>
          <w:rStyle w:val="VerbatimChar"/>
        </w:rPr>
        <w:t xml:space="preserve">$EPREFIX</w:t>
      </w:r>
      <w:r>
        <w:t xml:space="preserve"> </w:t>
      </w:r>
      <w:r>
        <w:t xml:space="preserve">and</w:t>
      </w:r>
      <w:r>
        <w:t xml:space="preserve"> </w:t>
      </w:r>
      <w:r>
        <w:t xml:space="preserve">everything above resolves from there.</w:t>
      </w:r>
    </w:p>
    <w:p>
      <w:pPr>
        <w:pStyle w:val="BodyText"/>
      </w:pPr>
      <w:r>
        <w:rPr>
          <w:b/>
          <w:bCs/>
        </w:rPr>
        <w:t xml:space="preserve">Architecture is a directory, not a build flag.</w:t>
      </w:r>
      <w:r>
        <w:t xml:space="preserve"> </w:t>
      </w:r>
      <w:r>
        <w:t xml:space="preserve">The tree carries</w:t>
      </w:r>
      <w:r>
        <w:t xml:space="preserve"> </w:t>
      </w:r>
      <w:r>
        <w:rPr>
          <w:rStyle w:val="VerbatimChar"/>
        </w:rPr>
        <w:t xml:space="preserve">x86-64-v3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x86-64-v4</w:t>
      </w:r>
      <w:r>
        <w:t xml:space="preserve"> </w:t>
      </w:r>
      <w:r>
        <w:t xml:space="preserve">subtrees today, and carried sse3, avx, avx2 and avx512</w:t>
      </w:r>
      <w:r>
        <w:t xml:space="preserve"> </w:t>
      </w:r>
      <w:r>
        <w:t xml:space="preserve">historically.</w:t>
      </w:r>
    </w:p>
    <w:p>
      <w:pPr>
        <w:pStyle w:val="BodyText"/>
      </w:pPr>
      <w:r>
        <w:rPr>
          <w:b/>
          <w:bCs/>
        </w:rPr>
        <w:t xml:space="preserve">Site variables, not site forks.</w:t>
      </w:r>
      <w:r>
        <w:t xml:space="preserve"> </w:t>
      </w:r>
      <w:r>
        <w:rPr>
          <w:rStyle w:val="VerbatimChar"/>
        </w:rPr>
        <w:t xml:space="preserve">CC_CLUSTER</w:t>
      </w:r>
      <w:r>
        <w:t xml:space="preserve">,</w:t>
      </w:r>
      <w:r>
        <w:t xml:space="preserve"> </w:t>
      </w:r>
      <w:r>
        <w:rPr>
          <w:rStyle w:val="VerbatimChar"/>
        </w:rPr>
        <w:t xml:space="preserve">RSNT_ARCH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RSNT_INTERCONNECT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RSNT_CUDA_DRIVER_VERSION</w:t>
      </w:r>
      <w:r>
        <w:t xml:space="preserve"> </w:t>
      </w:r>
      <w:r>
        <w:t xml:space="preserve">are how a mount is adapted to</w:t>
      </w:r>
      <w:r>
        <w:t xml:space="preserve"> </w:t>
      </w:r>
      <w:r>
        <w:t xml:space="preserve">a site. What varies between destinations is the configuration, never the</w:t>
      </w:r>
      <w:r>
        <w:t xml:space="preserve"> </w:t>
      </w:r>
      <w:r>
        <w:t xml:space="preserve">software.</w:t>
      </w:r>
      <w:r>
        <w:rPr>
          <w:rStyle w:val="FootnoteReference"/>
        </w:rPr>
        <w:footnoteReference w:id="120"/>
      </w:r>
    </w:p>
    <w:p>
      <w:pPr>
        <w:pStyle w:val="BodyText"/>
      </w:pPr>
      <w:r>
        <w:rPr>
          <w:b/>
          <w:bCs/>
        </w:rPr>
        <w:t xml:space="preserve">Python is served as wheels, not as an environment manager.</w:t>
      </w:r>
      <w:r>
        <w:t xml:space="preserve"> </w:t>
      </w:r>
      <w:r>
        <w:t xml:space="preserve">More than</w:t>
      </w:r>
      <w:r>
        <w:t xml:space="preserve"> </w:t>
      </w:r>
      <w:r>
        <w:t xml:space="preserve">seventeen thousand wheels compiled against the stack, with an</w:t>
      </w:r>
      <w:r>
        <w:t xml:space="preserve"> </w:t>
      </w:r>
      <w:r>
        <w:rPr>
          <w:rStyle w:val="VerbatimChar"/>
        </w:rPr>
        <w:t xml:space="preserve">avail_wheels</w:t>
      </w:r>
      <w:r>
        <w:t xml:space="preserve"> </w:t>
      </w:r>
      <w:r>
        <w:t xml:space="preserve">command to search them. It is the pragmatic answer to the single largest source</w:t>
      </w:r>
      <w:r>
        <w:t xml:space="preserve"> </w:t>
      </w:r>
      <w:r>
        <w:t xml:space="preserve">of unreproducible scientific software.</w:t>
      </w:r>
      <w:r>
        <w:rPr>
          <w:rStyle w:val="FootnoteReference"/>
        </w:rPr>
        <w:footnoteReference w:id="122"/>
      </w:r>
    </w:p>
    <w:bookmarkStart w:id="124" w:name="the-version-lineage"/>
    <w:p>
      <w:pPr>
        <w:pStyle w:val="Heading2"/>
      </w:pPr>
      <w:r>
        <w:t xml:space="preserve">The version lineage</w:t>
      </w:r>
    </w:p>
    <w:p>
      <w:pPr>
        <w:pStyle w:val="FirstParagraph"/>
      </w:pPr>
      <w:r>
        <w:t xml:space="preserve">Standard environments are versioned and the old ones stay mountable. That is what</w:t>
      </w:r>
      <w:r>
        <w:t xml:space="preserve"> </w:t>
      </w:r>
      <w:r>
        <w:t xml:space="preserve">lets a result from 2018 be re-run without arguing about what 2018 meant.</w:t>
      </w:r>
      <w:r>
        <w:rPr>
          <w:rStyle w:val="FootnoteReference"/>
        </w:rPr>
        <w:footnoteReference w:id="123"/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451"/>
        <w:gridCol w:w="1885"/>
        <w:gridCol w:w="942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Environment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Compiler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MPI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changed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StdEnv/2016.4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GCC 5.4 / Intel 2016.4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Open MPI 2.1.1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first unified environment.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StdEnv/2018.3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GCC 7.3 / Intel 2018.3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Open MPI 3.1.2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First AVX-512 support.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StdEnv/2020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GCC 9.3 / Intel 2020.1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Open MPI 4.0.3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Compatibility layer moved from Nix to Gentoo Prefix.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StdEnv/2023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GCC 12.3 / Intel 2023.1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Open MPI 4.1.5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GCC becomes the default compiler; minimum AVX2; FlexiBLAS; CUDA 12. Default since April 2024.</w:t>
            </w:r>
          </w:p>
        </w:tc>
      </w:tr>
    </w:tbl>
    <w:bookmarkEnd w:id="124"/>
    <w:bookmarkStart w:id="129" w:name="how-something-gets-into-it"/>
    <w:p>
      <w:pPr>
        <w:pStyle w:val="Heading2"/>
      </w:pPr>
      <w:r>
        <w:t xml:space="preserve">How something gets into it</w:t>
      </w:r>
    </w:p>
    <w:p>
      <w:pPr>
        <w:pStyle w:val="FirstParagraph"/>
      </w:pPr>
      <w:r>
        <w:t xml:space="preserve">The promotion path is the part most worth copying, because it is already a</w:t>
      </w:r>
      <w:r>
        <w:t xml:space="preserve"> </w:t>
      </w:r>
      <w:r>
        <w:t xml:space="preserve">qualification pipeline whether or not anyone calls it one. Nothing is promoted by</w:t>
      </w:r>
      <w:r>
        <w:t xml:space="preserve"> </w:t>
      </w:r>
      <w:r>
        <w:t xml:space="preserve">being edited - each stage publishes into the next and is tested there.</w:t>
      </w:r>
      <w:r>
        <w:rPr>
          <w:rStyle w:val="FootnoteReference"/>
        </w:rPr>
        <w:footnoteReference w:id="125"/>
      </w:r>
    </w:p>
    <w:p>
      <w:pPr>
        <w:pStyle w:val="CaptionedFigure"/>
      </w:pPr>
      <w:r>
        <w:drawing>
          <wp:inline>
            <wp:extent cx="1600200" cy="3079738"/>
            <wp:effectExtent b="0" l="0" r="0" t="0"/>
            <wp:docPr descr="A one-way street. The build cluster is disposable and rebuildable; the dev repository is a real, immutable, mountable publication that happens not to be the production one. The last test is on the production cluster, because that is the last place it can still be wrong." title="" id="127" name="Picture"/>
            <a:graphic>
              <a:graphicData uri="http://schemas.openxmlformats.org/drawingml/2006/picture">
                <pic:pic>
                  <pic:nvPicPr>
                    <pic:cNvPr descr="diagrams/fig9-promotion.png" id="128" name="Picture"/>
                    <pic:cNvPicPr>
                      <a:picLocks noChangeArrowheads="1"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0797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A one-way street. The build cluster is disposable and rebuildable; the dev</w:t>
      </w:r>
      <w:r>
        <w:t xml:space="preserve"> </w:t>
      </w:r>
      <w:r>
        <w:t xml:space="preserve">repository is a real, immutable, mountable publication that happens not to be the</w:t>
      </w:r>
      <w:r>
        <w:t xml:space="preserve"> </w:t>
      </w:r>
      <w:r>
        <w:t xml:space="preserve">production one. The last test is on the production cluster, because that is the</w:t>
      </w:r>
      <w:r>
        <w:t xml:space="preserve"> </w:t>
      </w:r>
      <w:r>
        <w:t xml:space="preserve">last place it can still be wrong.</w:t>
      </w:r>
    </w:p>
    <w:p>
      <w:pPr>
        <w:pStyle w:val="BodyText"/>
      </w:pPr>
      <w:r>
        <w:rPr>
          <w:i/>
          <w:iCs/>
        </w:rPr>
        <w:t xml:space="preserve">Why this matters.</w:t>
      </w:r>
      <w:r>
        <w:t xml:space="preserve"> </w:t>
      </w:r>
      <w:r>
        <w:t xml:space="preserve">Everything here has been operating at national scale for</w:t>
      </w:r>
      <w:r>
        <w:t xml:space="preserve"> </w:t>
      </w:r>
      <w:r>
        <w:t xml:space="preserve">years, across systems that do not share administrators, for around eighteen</w:t>
      </w:r>
      <w:r>
        <w:t xml:space="preserve"> </w:t>
      </w:r>
      <w:r>
        <w:t xml:space="preserve">thousand researchers. Adopting it is not a research project - and the parts that</w:t>
      </w:r>
      <w:r>
        <w:t xml:space="preserve"> </w:t>
      </w:r>
      <w:r>
        <w:t xml:space="preserve">are hard are hard in ways that have already been written down.</w:t>
      </w:r>
    </w:p>
    <w:bookmarkEnd w:id="129"/>
    <w:bookmarkEnd w:id="130"/>
    <w:bookmarkStart w:id="148" w:name="Xcde2b8cac55f0e161c56233173ad7f8415ad988"/>
    <w:p>
      <w:pPr>
        <w:pStyle w:val="Heading1"/>
      </w:pPr>
      <w:r>
        <w:t xml:space="preserve">EESSI: the same architecture, rebuilt for machines nobody had in 2017</w:t>
      </w:r>
    </w:p>
    <w:p>
      <w:pPr>
        <w:pStyle w:val="FirstParagraph"/>
      </w:pPr>
      <w:r>
        <w:t xml:space="preserve">The European Environment for Scientific Software Installations is explicitly</w:t>
      </w:r>
      <w:r>
        <w:t xml:space="preserve"> </w:t>
      </w:r>
      <w:r>
        <w:t xml:space="preserve">modelled on the Canadian stack and re-implemented for targets the original never</w:t>
      </w:r>
      <w:r>
        <w:t xml:space="preserve"> </w:t>
      </w:r>
      <w:r>
        <w:t xml:space="preserve">had: Arm, RISC-V, cloud instances, laptops.</w:t>
      </w:r>
      <w:r>
        <w:rPr>
          <w:rStyle w:val="FootnoteReference"/>
        </w:rPr>
        <w:footnoteReference w:id="131"/>
      </w:r>
      <w:r>
        <w:rPr>
          <w:rStyle w:val="FootnoteReference"/>
        </w:rPr>
        <w:footnoteReference w:id="132"/>
      </w:r>
      <w:r>
        <w:rPr>
          <w:rStyle w:val="FootnoteReference"/>
        </w:rPr>
        <w:footnoteReference w:id="133"/>
      </w:r>
      <w:r>
        <w:t xml:space="preserve"> </w:t>
      </w:r>
      <w:r>
        <w:t xml:space="preserve">Its repository has</w:t>
      </w:r>
      <w:r>
        <w:t xml:space="preserve"> </w:t>
      </w:r>
      <w:r>
        <w:t xml:space="preserve">been part of the default CernVM-FS configuration since November 2023, which means</w:t>
      </w:r>
      <w:r>
        <w:t xml:space="preserve"> </w:t>
      </w:r>
      <w:r>
        <w:t xml:space="preserve">a client with no site-specific setup can already see it.</w:t>
      </w:r>
    </w:p>
    <w:p>
      <w:pPr>
        <w:pStyle w:val="BodyText"/>
      </w:pPr>
      <w:r>
        <w:rPr>
          <w:b/>
          <w:bCs/>
        </w:rPr>
        <w:t xml:space="preserve">One repository, versioned as a whole.</w:t>
      </w:r>
      <w:r>
        <w:t xml:space="preserve"> </w:t>
      </w:r>
      <w:r>
        <w:rPr>
          <w:rStyle w:val="VerbatimChar"/>
        </w:rPr>
        <w:t xml:space="preserve">versions/2023.06</w:t>
      </w:r>
      <w:r>
        <w:t xml:space="preserve"> </w:t>
      </w:r>
      <w:r>
        <w:t xml:space="preserve">is the current</w:t>
      </w:r>
      <w:r>
        <w:t xml:space="preserve"> </w:t>
      </w:r>
      <w:r>
        <w:t xml:space="preserve">default (foss 2022b through 2023b);</w:t>
      </w:r>
      <w:r>
        <w:t xml:space="preserve"> </w:t>
      </w:r>
      <w:r>
        <w:rPr>
          <w:rStyle w:val="VerbatimChar"/>
        </w:rPr>
        <w:t xml:space="preserve">versions/2025.06</w:t>
      </w:r>
      <w:r>
        <w:t xml:space="preserve"> </w:t>
      </w:r>
      <w:r>
        <w:t xml:space="preserve">is available and becoming</w:t>
      </w:r>
      <w:r>
        <w:t xml:space="preserve"> </w:t>
      </w:r>
      <w:r>
        <w:t xml:space="preserve">default. Releases are yearly, and old versions stay mounted.</w:t>
      </w:r>
    </w:p>
    <w:p>
      <w:pPr>
        <w:pStyle w:val="BodyText"/>
      </w:pPr>
      <w:r>
        <w:rPr>
          <w:b/>
          <w:bCs/>
        </w:rPr>
        <w:t xml:space="preserve">The compatibility layer is visible in the path.</w:t>
      </w:r>
      <w:r>
        <w:t xml:space="preserve"> </w:t>
      </w:r>
      <w:r>
        <w:rPr>
          <w:rStyle w:val="VerbatimChar"/>
        </w:rPr>
        <w:t xml:space="preserve">compat/linux/x86_64/</w:t>
      </w:r>
      <w:r>
        <w:t xml:space="preserve"> </w:t>
      </w:r>
      <w:r>
        <w:t xml:space="preserve">carries its own</w:t>
      </w:r>
      <w:r>
        <w:t xml:space="preserve"> </w:t>
      </w:r>
      <w:r>
        <w:rPr>
          <w:rStyle w:val="VerbatimChar"/>
        </w:rPr>
        <w:t xml:space="preserve">libc.so.6</w:t>
      </w:r>
      <w:r>
        <w:t xml:space="preserve"> </w:t>
      </w:r>
      <w:r>
        <w:t xml:space="preserve">and its own dynamic loader. That is not an</w:t>
      </w:r>
      <w:r>
        <w:t xml:space="preserve"> </w:t>
      </w:r>
      <w:r>
        <w:t xml:space="preserve">implementation detail you have to take on trust - it is a directory you can list.</w:t>
      </w:r>
    </w:p>
    <w:p>
      <w:pPr>
        <w:pStyle w:val="BodyText"/>
      </w:pPr>
      <w:r>
        <w:rPr>
          <w:b/>
          <w:bCs/>
        </w:rPr>
        <w:t xml:space="preserve">The software layer is one subtree per microarchitecture.</w:t>
      </w:r>
      <w:r>
        <w:t xml:space="preserve"> </w:t>
      </w:r>
      <w:r>
        <w:rPr>
          <w:rStyle w:val="VerbatimChar"/>
        </w:rPr>
        <w:t xml:space="preserve">software/linux/x86_64/amd/zen4/</w:t>
      </w:r>
      <w:r>
        <w:t xml:space="preserve"> </w:t>
      </w:r>
      <w:r>
        <w:t xml:space="preserve">and its siblings, selected at login by</w:t>
      </w:r>
      <w:r>
        <w:t xml:space="preserve"> </w:t>
      </w:r>
      <w:r>
        <w:rPr>
          <w:rStyle w:val="VerbatimChar"/>
        </w:rPr>
        <w:t xml:space="preserve">archspec</w:t>
      </w:r>
      <w:r>
        <w:t xml:space="preserve"> </w:t>
      </w:r>
      <w:r>
        <w:t xml:space="preserve">or the pure-bash</w:t>
      </w:r>
      <w:r>
        <w:t xml:space="preserve"> </w:t>
      </w:r>
      <w:r>
        <w:rPr>
          <w:rStyle w:val="VerbatimChar"/>
        </w:rPr>
        <w:t xml:space="preserve">archdetect</w:t>
      </w:r>
      <w:r>
        <w:t xml:space="preserve">.</w:t>
      </w:r>
      <w:r>
        <w:rPr>
          <w:rStyle w:val="FootnoteReference"/>
        </w:rPr>
        <w:footnoteReference w:id="134"/>
      </w:r>
      <w:r>
        <w:t xml:space="preserve"> </w:t>
      </w:r>
      <w:r>
        <w:t xml:space="preserve">Each carries both the binaries and</w:t>
      </w:r>
      <w:r>
        <w:t xml:space="preserve"> </w:t>
      </w:r>
      <w:r>
        <w:t xml:space="preserve">the modulefiles, so selecting an architecture selects a whole consistent world</w:t>
      </w:r>
      <w:r>
        <w:t xml:space="preserve"> </w:t>
      </w:r>
      <w:r>
        <w:t xml:space="preserve">rather than a flag.</w:t>
      </w:r>
    </w:p>
    <w:p>
      <w:pPr>
        <w:pStyle w:val="BodyText"/>
      </w:pPr>
      <w:r>
        <w:rPr>
          <w:b/>
          <w:bCs/>
        </w:rPr>
        <w:t xml:space="preserve">Validated by a test suite, not by assertion.</w:t>
      </w:r>
      <w:r>
        <w:t xml:space="preserve"> </w:t>
      </w:r>
      <w:r>
        <w:t xml:space="preserve">The EESSI test suite is built on</w:t>
      </w:r>
      <w:r>
        <w:t xml:space="preserve"> </w:t>
      </w:r>
      <w:r>
        <w:t xml:space="preserve">ReFrame and exercises real applications - GROMACS, LAMMPS, OpenFOAM, PyTorch -</w:t>
      </w:r>
      <w:r>
        <w:t xml:space="preserve"> </w:t>
      </w:r>
      <w:r>
        <w:t xml:space="preserve">plus the underlying BLAS. A site runs it against its own mount to confirm the</w:t>
      </w:r>
      <w:r>
        <w:t xml:space="preserve"> </w:t>
      </w:r>
      <w:r>
        <w:t xml:space="preserve">deployment works and performs.</w:t>
      </w:r>
      <w:r>
        <w:rPr>
          <w:rStyle w:val="FootnoteReference"/>
        </w:rPr>
        <w:footnoteReference w:id="136"/>
      </w:r>
      <w:r>
        <w:rPr>
          <w:rStyle w:val="FootnoteReference"/>
        </w:rPr>
        <w:footnoteReference w:id="137"/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820"/>
        <w:gridCol w:w="3099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Architecture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x86_64 / AMD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zen2, zen3, zen4, zen5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x86_64 / Intel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haswell, skylake_avx512, cascadelake, icelake, sapphirerapids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aarch64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neoverse_n1, neoverse_v1, a64fx, nvidia/grace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generic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x86_64 and aarch64 fallbacks, for anything unrecognised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riscv64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 a separate development repository</w:t>
            </w:r>
          </w:p>
        </w:tc>
      </w:tr>
    </w:tbl>
    <w:p>
      <w:pPr>
        <w:pStyle w:val="CaptionedFigure"/>
      </w:pPr>
      <w:r>
        <w:drawing>
          <wp:inline>
            <wp:extent cx="4907280" cy="2090828"/>
            <wp:effectExtent b="0" l="0" r="0" t="0"/>
            <wp:docPr descr="The tree carries all of them and the machine picks. archspec or archdetect reads the CPU at login and selects a subdirectory, so “we moved to Arm” stops being a recompile and a revalidation and becomes the same module load resolving somewhere else." title="" id="140" name="Picture"/>
            <a:graphic>
              <a:graphicData uri="http://schemas.openxmlformats.org/drawingml/2006/picture">
                <pic:pic>
                  <pic:nvPicPr>
                    <pic:cNvPr descr="diagrams/fig10-microarch.png" id="141" name="Picture"/>
                    <pic:cNvPicPr>
                      <a:picLocks noChangeArrowheads="1"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80" cy="20908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The tree carries all of them and the machine picks. archspec or archdetect</w:t>
      </w:r>
      <w:r>
        <w:t xml:space="preserve"> </w:t>
      </w:r>
      <w:r>
        <w:t xml:space="preserve">reads the CPU at login and selects a subdirectory, so</w:t>
      </w:r>
      <w:r>
        <w:t xml:space="preserve"> </w:t>
      </w:r>
      <w:r>
        <w:t xml:space="preserve">“</w:t>
      </w:r>
      <w:r>
        <w:t xml:space="preserve">we moved to Arm</w:t>
      </w:r>
      <w:r>
        <w:t xml:space="preserve">”</w:t>
      </w:r>
      <w:r>
        <w:t xml:space="preserve"> </w:t>
      </w:r>
      <w:r>
        <w:t xml:space="preserve">stops</w:t>
      </w:r>
      <w:r>
        <w:t xml:space="preserve"> </w:t>
      </w:r>
      <w:r>
        <w:t xml:space="preserve">being a recompile and a revalidation and becomes the same module load resolving</w:t>
      </w:r>
      <w:r>
        <w:t xml:space="preserve"> </w:t>
      </w:r>
      <w:r>
        <w:t xml:space="preserve">somewhere else.</w:t>
      </w:r>
    </w:p>
    <w:bookmarkStart w:id="147" w:name="the-seam-host-injections"/>
    <w:p>
      <w:pPr>
        <w:pStyle w:val="Heading2"/>
      </w:pPr>
      <w:r>
        <w:t xml:space="preserve">The seam: host injections</w:t>
      </w:r>
    </w:p>
    <w:p>
      <w:pPr>
        <w:pStyle w:val="FirstParagraph"/>
      </w:pPr>
      <w:r>
        <w:t xml:space="preserve">A read-only global tree cannot contain a GPU driver. The driver belongs to one</w:t>
      </w:r>
      <w:r>
        <w:t xml:space="preserve"> </w:t>
      </w:r>
      <w:r>
        <w:t xml:space="preserve">machine, and NVIDIA’s licence does not permit redistributing it anyway. EESSI</w:t>
      </w:r>
      <w:r>
        <w:t xml:space="preserve"> </w:t>
      </w:r>
      <w:r>
        <w:t xml:space="preserve">names this seam explicitly rather than working around it quietly.</w:t>
      </w:r>
      <w:r>
        <w:rPr>
          <w:rStyle w:val="FootnoteReference"/>
        </w:rPr>
        <w:footnoteReference w:id="142"/>
      </w:r>
    </w:p>
    <w:p>
      <w:pPr>
        <w:pStyle w:val="CaptionedFigure"/>
      </w:pPr>
      <w:r>
        <w:drawing>
          <wp:inline>
            <wp:extent cx="3200400" cy="2275395"/>
            <wp:effectExtent b="0" l="0" r="0" t="0"/>
            <wp:docPr descr="A CernVM-FS variant symlink: a path inside the read-only repository that resolves to a location on the client. Point it at a per-node-class directory and one tree serves nodes with different drivers without the tree knowing anything about them." title="" id="144" name="Picture"/>
            <a:graphic>
              <a:graphicData uri="http://schemas.openxmlformats.org/drawingml/2006/picture">
                <pic:pic>
                  <pic:nvPicPr>
                    <pic:cNvPr descr="diagrams/fig11-host-injections.png" id="145" name="Picture"/>
                    <pic:cNvPicPr>
                      <a:picLocks noChangeArrowheads="1"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75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A CernVM-FS variant symlink: a path inside the read-only repository that</w:t>
      </w:r>
      <w:r>
        <w:t xml:space="preserve"> </w:t>
      </w:r>
      <w:r>
        <w:t xml:space="preserve">resolves to a location on the client. Point it at a per-node-class directory and</w:t>
      </w:r>
      <w:r>
        <w:t xml:space="preserve"> </w:t>
      </w:r>
      <w:r>
        <w:t xml:space="preserve">one tree serves nodes with different drivers without the tree knowing anything</w:t>
      </w:r>
      <w:r>
        <w:t xml:space="preserve"> </w:t>
      </w:r>
      <w:r>
        <w:t xml:space="preserve">about them.</w:t>
      </w:r>
    </w:p>
    <w:p>
      <w:pPr>
        <w:pStyle w:val="BodyText"/>
      </w:pPr>
      <w:r>
        <w:rPr>
          <w:b/>
          <w:bCs/>
        </w:rPr>
        <w:t xml:space="preserve">Runtime libraries ship; the toolkit does not.</w:t>
      </w:r>
      <w:r>
        <w:t xml:space="preserve"> </w:t>
      </w:r>
      <w:r>
        <w:t xml:space="preserve">The CUDA licence permits</w:t>
      </w:r>
      <w:r>
        <w:t xml:space="preserve"> </w:t>
      </w:r>
      <w:r>
        <w:t xml:space="preserve">redistributing runtime libraries only, so the CUDA and cuDNN installations in the</w:t>
      </w:r>
      <w:r>
        <w:t xml:space="preserve"> </w:t>
      </w:r>
      <w:r>
        <w:t xml:space="preserve">tree are stripped to those.</w:t>
      </w:r>
      <w:r>
        <w:t xml:space="preserve"> </w:t>
      </w:r>
      <w:r>
        <w:rPr>
          <w:rStyle w:val="VerbatimChar"/>
        </w:rPr>
        <w:t xml:space="preserve">nvcc</w:t>
      </w:r>
      <w:r>
        <w:t xml:space="preserve"> </w:t>
      </w:r>
      <w:r>
        <w:t xml:space="preserve">is a symlink into a locally installed SDK - you</w:t>
      </w:r>
      <w:r>
        <w:t xml:space="preserve"> </w:t>
      </w:r>
      <w:r>
        <w:t xml:space="preserve">can run GPU software with nothing installed, and compile it with an SDK installed</w:t>
      </w:r>
      <w:r>
        <w:t xml:space="preserve"> </w:t>
      </w:r>
      <w:r>
        <w:t xml:space="preserve">once.</w:t>
      </w:r>
    </w:p>
    <w:p>
      <w:pPr>
        <w:pStyle w:val="BodyText"/>
      </w:pPr>
      <w:r>
        <w:rPr>
          <w:b/>
          <w:bCs/>
        </w:rPr>
        <w:t xml:space="preserve">And it now flows back the other way.</w:t>
      </w:r>
      <w:r>
        <w:t xml:space="preserve"> </w:t>
      </w:r>
      <w:r>
        <w:t xml:space="preserve">The Alliance’s Gentoo Prefix bootstrap</w:t>
      </w:r>
      <w:r>
        <w:t xml:space="preserve"> </w:t>
      </w:r>
      <w:r>
        <w:t xml:space="preserve">is based on EESSI’s Ansible implementation, and the Alliance has adopted the</w:t>
      </w:r>
      <w:r>
        <w:t xml:space="preserve"> </w:t>
      </w:r>
      <w:r>
        <w:t xml:space="preserve">variant-symlink approach for CUDA driver libraries. The influence is no longer one</w:t>
      </w:r>
      <w:r>
        <w:t xml:space="preserve"> </w:t>
      </w:r>
      <w:r>
        <w:t xml:space="preserve">direction.</w:t>
      </w:r>
      <w:r>
        <w:rPr>
          <w:rStyle w:val="FootnoteReference"/>
        </w:rPr>
        <w:footnoteReference w:id="146"/>
      </w:r>
    </w:p>
    <w:p>
      <w:pPr>
        <w:pStyle w:val="BodyText"/>
      </w:pPr>
      <w:r>
        <w:rPr>
          <w:i/>
          <w:iCs/>
        </w:rPr>
        <w:t xml:space="preserve">Why this matters.</w:t>
      </w:r>
      <w:r>
        <w:t xml:space="preserve"> </w:t>
      </w:r>
      <w:r>
        <w:t xml:space="preserve">The method has transferred once already, between programmes</w:t>
      </w:r>
      <w:r>
        <w:t xml:space="preserve"> </w:t>
      </w:r>
      <w:r>
        <w:t xml:space="preserve">that do not share staff, funding or hardware - and is now being transferred back.</w:t>
      </w:r>
      <w:r>
        <w:t xml:space="preserve"> </w:t>
      </w:r>
      <w:r>
        <w:t xml:space="preserve">That is the difference between a method and one team’s preference.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  <w:i/>
          <w:iCs/>
        </w:rPr>
        <w:t xml:space="preserve">Part IV - Running it, and what it does not do.</w:t>
      </w:r>
    </w:p>
    <w:bookmarkEnd w:id="147"/>
    <w:bookmarkEnd w:id="148"/>
    <w:bookmarkStart w:id="154" w:name="X33fb8a8b26c997b787ff891573ffc0eabe2a078"/>
    <w:p>
      <w:pPr>
        <w:pStyle w:val="Heading1"/>
      </w:pPr>
      <w:r>
        <w:t xml:space="preserve">Running it: what you actually stand up, and in what order</w:t>
      </w:r>
    </w:p>
    <w:p>
      <w:pPr>
        <w:pStyle w:val="FirstParagraph"/>
      </w:pPr>
      <w:r>
        <w:t xml:space="preserve">The commitment scales with the deployment. A workstation is one package and one</w:t>
      </w:r>
      <w:r>
        <w:t xml:space="preserve"> </w:t>
      </w:r>
      <w:r>
        <w:t xml:space="preserve">config file. A cluster is that plus two proxies. An estate that cannot lose</w:t>
      </w:r>
      <w:r>
        <w:t xml:space="preserve"> </w:t>
      </w:r>
      <w:r>
        <w:t xml:space="preserve">access when a link goes down is that plus one replica.</w:t>
      </w:r>
      <w:r>
        <w:rPr>
          <w:rStyle w:val="FootnoteReference"/>
        </w:rPr>
        <w:footnoteReference w:id="149"/>
      </w:r>
      <w:r>
        <w:rPr>
          <w:rStyle w:val="FootnoteReference"/>
        </w:rPr>
        <w:footnoteReference w:id="150"/>
      </w:r>
      <w:r>
        <w:rPr>
          <w:rStyle w:val="FootnoteReference"/>
        </w:rPr>
        <w:footnoteReference w:id="151"/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Install the client and point it somewhere.</w:t>
      </w:r>
      <w:r>
        <w:t xml:space="preserve"> </w:t>
      </w:r>
      <w:r>
        <w:t xml:space="preserve">A package, a public key, and a</w:t>
      </w:r>
      <w:r>
        <w:t xml:space="preserve"> </w:t>
      </w:r>
      <w:r>
        <w:t xml:space="preserve">config file naming the proxy and the cache. Repositories are mounted on demand</w:t>
      </w:r>
      <w:r>
        <w:t xml:space="preserve"> </w:t>
      </w:r>
      <w:r>
        <w:t xml:space="preserve">by autofs; there is no service to start per repository.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Put two proxies in front of it, once you have nodes.</w:t>
      </w:r>
      <w:r>
        <w:t xml:space="preserve"> </w:t>
      </w:r>
      <w:r>
        <w:t xml:space="preserve">One per 100-500</w:t>
      </w:r>
      <w:r>
        <w:t xml:space="preserve"> </w:t>
      </w:r>
      <w:r>
        <w:t xml:space="preserve">workers, at least two for redundancy, on SSD, on a fast link to the clients.</w:t>
      </w:r>
      <w:r>
        <w:t xml:space="preserve"> </w:t>
      </w:r>
      <w:r>
        <w:t xml:space="preserve">The client config takes a failover list, so losing one is not an outage.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Add a private Stratum 1 if a lost link would stop work.</w:t>
      </w:r>
      <w:r>
        <w:t xml:space="preserve"> </w:t>
      </w:r>
      <w:r>
        <w:t xml:space="preserve">One replica, one</w:t>
      </w:r>
      <w:r>
        <w:t xml:space="preserve"> </w:t>
      </w:r>
      <w:r>
        <w:t xml:space="preserve">Apache, one cron job. Disable the Geo API - it is for public mirrors. Expect</w:t>
      </w:r>
      <w:r>
        <w:t xml:space="preserve"> </w:t>
      </w:r>
      <w:r>
        <w:t xml:space="preserve">hours for the first synchronisation and minutes thereafter.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Deal with the nodes that have no local disk.</w:t>
      </w:r>
      <w:r>
        <w:t xml:space="preserve"> </w:t>
      </w:r>
      <w:r>
        <w:t xml:space="preserve">A loopback file on the shared</w:t>
      </w:r>
      <w:r>
        <w:t xml:space="preserve"> </w:t>
      </w:r>
      <w:r>
        <w:t xml:space="preserve">filesystem is the recommended answer, sized about 15% above the cache so</w:t>
      </w:r>
      <w:r>
        <w:t xml:space="preserve"> </w:t>
      </w:r>
      <w:r>
        <w:t xml:space="preserve">metadata operations stay inside it. RAM cache works when there is memory to</w:t>
      </w:r>
      <w:r>
        <w:t xml:space="preserve"> </w:t>
      </w:r>
      <w:r>
        <w:t xml:space="preserve">spare. Re-exporting a single client over NFS does not - it can be made to work</w:t>
      </w:r>
      <w:r>
        <w:t xml:space="preserve"> </w:t>
      </w:r>
      <w:r>
        <w:t xml:space="preserve">and it runs into operational problems.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Monitor the two things that actually predict trouble.</w:t>
      </w:r>
      <w:r>
        <w:t xml:space="preserve"> </w:t>
      </w:r>
      <w:r>
        <w:t xml:space="preserve">Cache cleanup</w:t>
      </w:r>
      <w:r>
        <w:t xml:space="preserve"> </w:t>
      </w:r>
      <w:r>
        <w:t xml:space="preserve">frequency - if evictions are more frequent than a typical job is long, the</w:t>
      </w:r>
      <w:r>
        <w:t xml:space="preserve"> </w:t>
      </w:r>
      <w:r>
        <w:t xml:space="preserve">cache is too small - and the client’s current revision against the Stratum</w:t>
      </w:r>
      <w:r>
        <w:t xml:space="preserve"> </w:t>
      </w:r>
      <w:r>
        <w:t xml:space="preserve">1’s, which is how you see replication lag before a user does.</w:t>
      </w:r>
    </w:p>
    <w:p>
      <w:pPr>
        <w:pStyle w:val="SourceCode"/>
      </w:pPr>
      <w:r>
        <w:rPr>
          <w:rStyle w:val="VerbatimChar"/>
        </w:rPr>
        <w:t xml:space="preserve"># a private Stratum 1: one replica, inside your own network</w:t>
      </w:r>
      <w:r>
        <w:br/>
      </w:r>
      <w:r>
        <w:rPr>
          <w:rStyle w:val="VerbatimChar"/>
        </w:rPr>
        <w:t xml:space="preserve">sudo dnf install -y cvmfs-server python3-mod_wsgi</w:t>
      </w:r>
      <w:r>
        <w:br/>
      </w:r>
      <w:r>
        <w:rPr>
          <w:rStyle w:val="VerbatimChar"/>
        </w:rPr>
        <w:t xml:space="preserve">echo 'CVMFS_GEO_DB_FILE=NONE' | sudo tee -a /etc/cvmfs/server.local</w:t>
      </w:r>
      <w:r>
        <w:br/>
      </w:r>
      <w:r>
        <w:br/>
      </w:r>
      <w:r>
        <w:rPr>
          <w:rStyle w:val="VerbatimChar"/>
        </w:rPr>
        <w:t xml:space="preserve">sudo cvmfs_server add-replica -o $USER \</w:t>
      </w:r>
      <w:r>
        <w:br/>
      </w:r>
      <w:r>
        <w:rPr>
          <w:rStyle w:val="VerbatimChar"/>
        </w:rPr>
        <w:t xml:space="preserve">  http://aws-eu-west-s1-sync.eessi.science/cvmfs/software.eessi.io \</w:t>
      </w:r>
      <w:r>
        <w:br/>
      </w:r>
      <w:r>
        <w:rPr>
          <w:rStyle w:val="VerbatimChar"/>
        </w:rPr>
        <w:t xml:space="preserve">  /etc/cvmfs/keys/eessi.io</w:t>
      </w:r>
      <w:r>
        <w:br/>
      </w:r>
      <w:r>
        <w:br/>
      </w:r>
      <w:r>
        <w:rPr>
          <w:rStyle w:val="VerbatimChar"/>
        </w:rPr>
        <w:t xml:space="preserve">cvmfs_server snapshot software.eessi.io          # first sync: hours</w:t>
      </w:r>
      <w:r>
        <w:br/>
      </w:r>
      <w:r>
        <w:rPr>
          <w:rStyle w:val="VerbatimChar"/>
        </w:rPr>
        <w:t xml:space="preserve">*/5 * * * * cvmfs_server snapshot -a -i          # thereafter: minutes</w:t>
      </w:r>
    </w:p>
    <w:p>
      <w:pPr>
        <w:pStyle w:val="SourceCode"/>
      </w:pPr>
      <w:r>
        <w:rPr>
          <w:rStyle w:val="VerbatimChar"/>
        </w:rPr>
        <w:t xml:space="preserve"># no local disk? a loopback file on the shared filesystem, per node -</w:t>
      </w:r>
      <w:r>
        <w:br/>
      </w:r>
      <w:r>
        <w:rPr>
          <w:rStyle w:val="VerbatimChar"/>
        </w:rPr>
        <w:t xml:space="preserve"># sized ~15% above the cache, so metadata stays inside the loopback</w:t>
      </w:r>
      <w:r>
        <w:br/>
      </w:r>
      <w:r>
        <w:rPr>
          <w:rStyle w:val="VerbatimChar"/>
        </w:rPr>
        <w:t xml:space="preserve">CVMFS_CACHE_BASE=/var/lib/cvmfs</w:t>
      </w:r>
      <w:r>
        <w:br/>
      </w:r>
      <w:r>
        <w:br/>
      </w:r>
      <w:r>
        <w:rPr>
          <w:rStyle w:val="VerbatimChar"/>
        </w:rPr>
        <w:t xml:space="preserve"># or, if there is memory to spare and the workload is small:</w:t>
      </w:r>
      <w:r>
        <w:br/>
      </w:r>
      <w:r>
        <w:rPr>
          <w:rStyle w:val="VerbatimChar"/>
        </w:rPr>
        <w:t xml:space="preserve">CVMFS_CACHE_BASE=/dev/shm/cvmfs-cache</w:t>
      </w:r>
      <w:r>
        <w:br/>
      </w:r>
      <w:r>
        <w:rPr>
          <w:rStyle w:val="VerbatimChar"/>
        </w:rPr>
        <w:t xml:space="preserve">CVMFS_QUOTA_LIMIT=4000</w:t>
      </w:r>
      <w:r>
        <w:br/>
      </w:r>
      <w:r>
        <w:br/>
      </w:r>
      <w:r>
        <w:rPr>
          <w:rStyle w:val="VerbatimChar"/>
        </w:rPr>
        <w:t xml:space="preserve"># no root at all? mount it unprivileged, per process:</w:t>
      </w:r>
      <w:r>
        <w:br/>
      </w:r>
      <w:r>
        <w:rPr>
          <w:rStyle w:val="VerbatimChar"/>
        </w:rPr>
        <w:t xml:space="preserve">git clone https://github.com/cvmfs/cvmfsexec &amp;&amp; cd cvmfsexec &amp;&amp; ./makedist default</w:t>
      </w:r>
      <w:r>
        <w:br/>
      </w:r>
      <w:r>
        <w:rPr>
          <w:rStyle w:val="VerbatimChar"/>
        </w:rPr>
        <w:t xml:space="preserve">./cvmfsexec software.eessi.io -- /bin/bash -l</w:t>
      </w:r>
    </w:p>
    <w:bookmarkStart w:id="153" w:name="the-four-error-messages-decoded"/>
    <w:p>
      <w:pPr>
        <w:pStyle w:val="Heading2"/>
      </w:pPr>
      <w:r>
        <w:t xml:space="preserve">The four error messages, decoded</w:t>
      </w:r>
    </w:p>
    <w:p>
      <w:pPr>
        <w:pStyle w:val="FirstParagraph"/>
      </w:pPr>
      <w:r>
        <w:t xml:space="preserve">It is a filesystem, so it can only report errors the way a filesystem can. These</w:t>
      </w:r>
      <w:r>
        <w:t xml:space="preserve"> </w:t>
      </w:r>
      <w:r>
        <w:t xml:space="preserve">four cover most of what a site will actually see, and none of them says what it</w:t>
      </w:r>
      <w:r>
        <w:t xml:space="preserve"> </w:t>
      </w:r>
      <w:r>
        <w:t xml:space="preserve">means.</w:t>
      </w:r>
      <w:r>
        <w:rPr>
          <w:rStyle w:val="FootnoteReference"/>
        </w:rPr>
        <w:footnoteReference w:id="152"/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823"/>
        <w:gridCol w:w="4096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What it says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means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Too many levels of symbolic links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mount point reached inside a namespace that is not shared. Almost always a container - mount</w:t>
            </w:r>
            <w:r>
              <w:t xml:space="preserve"> </w:t>
            </w:r>
            <w:r>
              <w:rPr>
                <w:rStyle w:val="VerbatimChar"/>
              </w:rPr>
              <w:t xml:space="preserve">/cvmfs</w:t>
            </w:r>
            <w:r>
              <w:t xml:space="preserve"> </w:t>
            </w:r>
            <w:r>
              <w:t xml:space="preserve">with the shared propagation flag.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No such file or directory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 a path that should exist: a catalog could not be loaded into the cache. The real reason is in the syslog.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Transport endpoint is not connected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client process died and the watchdog did not restart it. Unmount and remount.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Software caused connection abort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kernel cut the FUSE connection, usually through administrator action. Remount.</w:t>
            </w:r>
          </w:p>
        </w:tc>
      </w:tr>
    </w:tbl>
    <w:p>
      <w:pPr>
        <w:pStyle w:val="SourceCode"/>
      </w:pPr>
      <w:r>
        <w:rPr>
          <w:rStyle w:val="VerbatimChar"/>
        </w:rPr>
        <w:t xml:space="preserve">cvmfs_config probe software.eessi.io       # is it reachable at all</w:t>
      </w:r>
      <w:r>
        <w:br/>
      </w:r>
      <w:r>
        <w:rPr>
          <w:rStyle w:val="VerbatimChar"/>
        </w:rPr>
        <w:t xml:space="preserve">cvmfs_config stat -v software.eessi.io     # revision, cache use, hit rate</w:t>
      </w:r>
      <w:r>
        <w:br/>
      </w:r>
      <w:r>
        <w:rPr>
          <w:rStyle w:val="VerbatimChar"/>
        </w:rPr>
        <w:t xml:space="preserve">cvmfs_config showconfig software.eessi.io  # what it thinks it was told</w:t>
      </w:r>
      <w:r>
        <w:br/>
      </w:r>
      <w:r>
        <w:rPr>
          <w:rStyle w:val="VerbatimChar"/>
        </w:rPr>
        <w:t xml:space="preserve">cvmfs_talk -i software.eessi.io ncleanup24 # cache evictions in 24h</w:t>
      </w:r>
      <w:r>
        <w:br/>
      </w:r>
      <w:r>
        <w:rPr>
          <w:rStyle w:val="VerbatimChar"/>
        </w:rPr>
        <w:t xml:space="preserve">sudo cvmfs_config wipecache                # last resort, not first</w:t>
      </w:r>
    </w:p>
    <w:p>
      <w:pPr>
        <w:pStyle w:val="FirstParagraph"/>
      </w:pPr>
      <w:r>
        <w:rPr>
          <w:i/>
          <w:iCs/>
        </w:rPr>
        <w:t xml:space="preserve">Why this matters.</w:t>
      </w:r>
      <w:r>
        <w:t xml:space="preserve"> </w:t>
      </w:r>
      <w:r>
        <w:t xml:space="preserve">None of this is exotic. It is a package, a config file, a</w:t>
      </w:r>
      <w:r>
        <w:t xml:space="preserve"> </w:t>
      </w:r>
      <w:r>
        <w:t xml:space="preserve">Squid instance and an Apache instance - components a platform team already</w:t>
      </w:r>
      <w:r>
        <w:t xml:space="preserve"> </w:t>
      </w:r>
      <w:r>
        <w:t xml:space="preserve">operates, arranged in a way that has been documented by people running it at</w:t>
      </w:r>
      <w:r>
        <w:t xml:space="preserve"> </w:t>
      </w:r>
      <w:r>
        <w:t xml:space="preserve">national scale.</w:t>
      </w:r>
    </w:p>
    <w:bookmarkEnd w:id="153"/>
    <w:bookmarkEnd w:id="154"/>
    <w:bookmarkStart w:id="159" w:name="the-boundary-what-this-does-not-solve"/>
    <w:p>
      <w:pPr>
        <w:pStyle w:val="Heading1"/>
      </w:pPr>
      <w:r>
        <w:t xml:space="preserve">The boundary: what this does not solve</w:t>
      </w:r>
    </w:p>
    <w:p>
      <w:pPr>
        <w:pStyle w:val="FirstParagraph"/>
      </w:pPr>
      <w:r>
        <w:t xml:space="preserve">Everything above is worth adopting and none of it is complete. These are the</w:t>
      </w:r>
      <w:r>
        <w:t xml:space="preserve"> </w:t>
      </w:r>
      <w:r>
        <w:t xml:space="preserve">limits a reviewer will find anyway, and finding them here first is cheaper than</w:t>
      </w:r>
      <w:r>
        <w:t xml:space="preserve"> </w:t>
      </w:r>
      <w:r>
        <w:t xml:space="preserve">finding them in month three.</w:t>
      </w:r>
    </w:p>
    <w:p>
      <w:pPr>
        <w:pStyle w:val="BodyText"/>
      </w:pPr>
      <w:r>
        <w:rPr>
          <w:b/>
          <w:bCs/>
        </w:rPr>
        <w:t xml:space="preserve">Updates are visible within minutes, not instantly.</w:t>
      </w:r>
      <w:r>
        <w:t xml:space="preserve"> </w:t>
      </w:r>
      <w:r>
        <w:t xml:space="preserve">Clients re-check on the</w:t>
      </w:r>
      <w:r>
        <w:t xml:space="preserve"> </w:t>
      </w:r>
      <w:r>
        <w:t xml:space="preserve">catalog time-to-live. That is fast enough that no rollout is needed and slow</w:t>
      </w:r>
      <w:r>
        <w:t xml:space="preserve"> </w:t>
      </w:r>
      <w:r>
        <w:t xml:space="preserve">enough that</w:t>
      </w:r>
      <w:r>
        <w:t xml:space="preserve"> </w:t>
      </w:r>
      <w:r>
        <w:t xml:space="preserve">“</w:t>
      </w:r>
      <w:r>
        <w:t xml:space="preserve">immediately</w:t>
      </w:r>
      <w:r>
        <w:t xml:space="preserve">”</w:t>
      </w:r>
      <w:r>
        <w:t xml:space="preserve"> </w:t>
      </w:r>
      <w:r>
        <w:t xml:space="preserve">is the wrong word to use in a change record.</w:t>
      </w:r>
    </w:p>
    <w:p>
      <w:pPr>
        <w:pStyle w:val="BodyText"/>
      </w:pPr>
      <w:r>
        <w:rPr>
          <w:b/>
          <w:bCs/>
        </w:rPr>
        <w:t xml:space="preserve">The signing whitelist is an availability dependency.</w:t>
      </w:r>
      <w:r>
        <w:t xml:space="preserve"> </w:t>
      </w:r>
      <w:r>
        <w:t xml:space="preserve">It expires and has to be</w:t>
      </w:r>
      <w:r>
        <w:t xml:space="preserve"> </w:t>
      </w:r>
      <w:r>
        <w:t xml:space="preserve">refreshed. That is a good property - it is what bounds the damage from a</w:t>
      </w:r>
      <w:r>
        <w:t xml:space="preserve"> </w:t>
      </w:r>
      <w:r>
        <w:t xml:space="preserve">compromised key - but it is one more thing that can stop a mount working, and it</w:t>
      </w:r>
      <w:r>
        <w:t xml:space="preserve"> </w:t>
      </w:r>
      <w:r>
        <w:t xml:space="preserve">belongs on the runbook.</w:t>
      </w:r>
    </w:p>
    <w:p>
      <w:pPr>
        <w:pStyle w:val="BodyText"/>
      </w:pPr>
      <w:r>
        <w:rPr>
          <w:b/>
          <w:bCs/>
        </w:rPr>
        <w:t xml:space="preserve">Unprivileged mounting is possible, not free.</w:t>
      </w:r>
      <w:r>
        <w:t xml:space="preserve"> </w:t>
      </w:r>
      <w:r>
        <w:rPr>
          <w:rStyle w:val="VerbatimChar"/>
        </w:rPr>
        <w:t xml:space="preserve">cvmfsexec</w:t>
      </w:r>
      <w:r>
        <w:t xml:space="preserve"> </w:t>
      </w:r>
      <w:r>
        <w:t xml:space="preserve">needs user</w:t>
      </w:r>
      <w:r>
        <w:t xml:space="preserve"> </w:t>
      </w:r>
      <w:r>
        <w:t xml:space="preserve">namespaces or a suitable Apptainer, and gives each process its own cache rather</w:t>
      </w:r>
      <w:r>
        <w:t xml:space="preserve"> </w:t>
      </w:r>
      <w:r>
        <w:t xml:space="preserve">than a shared one.</w:t>
      </w:r>
      <w:r>
        <w:rPr>
          <w:rStyle w:val="FootnoteReference"/>
        </w:rPr>
        <w:footnoteReference w:id="155"/>
      </w:r>
    </w:p>
    <w:p>
      <w:pPr>
        <w:pStyle w:val="BodyText"/>
      </w:pPr>
      <w:r>
        <w:rPr>
          <w:b/>
          <w:bCs/>
        </w:rPr>
        <w:t xml:space="preserve">EasyBuild does not sandbox the build.</w:t>
      </w:r>
      <w:r>
        <w:t xml:space="preserve"> </w:t>
      </w:r>
      <w:r>
        <w:t xml:space="preserve">Which means bit-for-bit reproducibility</w:t>
      </w:r>
      <w:r>
        <w:t xml:space="preserve"> </w:t>
      </w:r>
      <w:r>
        <w:t xml:space="preserve">is a target rather than a guarantee. What you get is a complete, archived record</w:t>
      </w:r>
      <w:r>
        <w:t xml:space="preserve"> </w:t>
      </w:r>
      <w:r>
        <w:t xml:space="preserve">of how the build was specified - strictly stronger than a lock file, strictly</w:t>
      </w:r>
      <w:r>
        <w:t xml:space="preserve"> </w:t>
      </w:r>
      <w:r>
        <w:t xml:space="preserve">weaker than a hermetic build system.</w:t>
      </w:r>
    </w:p>
    <w:p>
      <w:pPr>
        <w:pStyle w:val="BodyText"/>
      </w:pPr>
      <w:r>
        <w:rPr>
          <w:b/>
          <w:bCs/>
        </w:rPr>
        <w:t xml:space="preserve">Licensed software does not fit the model.</w:t>
      </w:r>
      <w:r>
        <w:t xml:space="preserve"> </w:t>
      </w:r>
      <w:r>
        <w:t xml:space="preserve">Anything that cannot be</w:t>
      </w:r>
      <w:r>
        <w:t xml:space="preserve"> </w:t>
      </w:r>
      <w:r>
        <w:t xml:space="preserve">redistributed stays in a restricted repository or on the host. GPU drivers are the</w:t>
      </w:r>
      <w:r>
        <w:t xml:space="preserve"> </w:t>
      </w:r>
      <w:r>
        <w:t xml:space="preserve">common case and are handled by variant symlinks; commercial applications are</w:t>
      </w:r>
      <w:r>
        <w:t xml:space="preserve"> </w:t>
      </w:r>
      <w:r>
        <w:t xml:space="preserve">handled by access control, which is a different kind of answer.</w:t>
      </w:r>
    </w:p>
    <w:p>
      <w:pPr>
        <w:pStyle w:val="BodyText"/>
      </w:pPr>
      <w:r>
        <w:rPr>
          <w:b/>
          <w:bCs/>
        </w:rPr>
        <w:t xml:space="preserve">Derivation proves construction, never meaning.</w:t>
      </w:r>
      <w:r>
        <w:t xml:space="preserve"> </w:t>
      </w:r>
      <w:r>
        <w:t xml:space="preserve">Knowing exactly how a binary</w:t>
      </w:r>
      <w:r>
        <w:t xml:space="preserve"> </w:t>
      </w:r>
      <w:r>
        <w:t xml:space="preserve">was built tells you nothing about whether the analysis it ran was correct. This</w:t>
      </w:r>
      <w:r>
        <w:t xml:space="preserve"> </w:t>
      </w:r>
      <w:r>
        <w:t xml:space="preserve">model closes one class of doubt completely and leaves the scientific ones exactly</w:t>
      </w:r>
      <w:r>
        <w:t xml:space="preserve"> </w:t>
      </w:r>
      <w:r>
        <w:t xml:space="preserve">where they were.</w:t>
      </w:r>
    </w:p>
    <w:p>
      <w:pPr>
        <w:pStyle w:val="BodyText"/>
      </w:pPr>
      <w:r>
        <w:rPr>
          <w:i/>
          <w:iCs/>
        </w:rPr>
        <w:t xml:space="preserve">The one that catches people.</w:t>
      </w:r>
      <w:r>
        <w:t xml:space="preserve"> </w:t>
      </w:r>
      <w:r>
        <w:t xml:space="preserve">If your nodes have no local disk and you are</w:t>
      </w:r>
      <w:r>
        <w:t xml:space="preserve"> </w:t>
      </w:r>
      <w:r>
        <w:t xml:space="preserve">tempted to run a single client and export it over NFS: it can be made to work, it</w:t>
      </w:r>
      <w:r>
        <w:t xml:space="preserve"> </w:t>
      </w:r>
      <w:r>
        <w:t xml:space="preserve">is slow, and it is the configuration that generates the most</w:t>
      </w:r>
      <w:r>
        <w:t xml:space="preserve"> </w:t>
      </w:r>
      <w:r>
        <w:t xml:space="preserve">operational problems. Use a loopback cache file on the shared filesystem</w:t>
      </w:r>
      <w:r>
        <w:t xml:space="preserve"> </w:t>
      </w:r>
      <w:r>
        <w:t xml:space="preserve">instead.</w:t>
      </w:r>
      <w:r>
        <w:rPr>
          <w:rStyle w:val="FootnoteReference"/>
        </w:rPr>
        <w:footnoteReference w:id="157"/>
      </w:r>
      <w:r>
        <w:rPr>
          <w:rStyle w:val="FootnoteReference"/>
        </w:rPr>
        <w:footnoteReference w:id="158"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  <w:i/>
          <w:iCs/>
        </w:rPr>
        <w:t xml:space="preserve">Part V - What it settles.</w:t>
      </w:r>
    </w:p>
    <w:bookmarkEnd w:id="159"/>
    <w:bookmarkStart w:id="163" w:name="X7ddfed399b2071b245b01a29f464894a43bcb74"/>
    <w:p>
      <w:pPr>
        <w:pStyle w:val="Heading1"/>
      </w:pPr>
      <w:r>
        <w:t xml:space="preserve">The consequences: four questions that stop being open</w:t>
      </w:r>
    </w:p>
    <w:p>
      <w:pPr>
        <w:pStyle w:val="FirstParagraph"/>
      </w:pPr>
      <w:r>
        <w:t xml:space="preserve">Not benefits - consequences. Each of these follows from the arrangement rather</w:t>
      </w:r>
      <w:r>
        <w:t xml:space="preserve"> </w:t>
      </w:r>
      <w:r>
        <w:t xml:space="preserve">than from anyone remembering to do something, which is the property that makes it</w:t>
      </w:r>
      <w:r>
        <w:t xml:space="preserve"> </w:t>
      </w:r>
      <w:r>
        <w:t xml:space="preserve">survive the people who built it.</w:t>
      </w:r>
    </w:p>
    <w:p>
      <w:pPr>
        <w:pStyle w:val="CaptionedFigure"/>
      </w:pPr>
      <w:r>
        <w:drawing>
          <wp:inline>
            <wp:extent cx="2933700" cy="3134466"/>
            <wp:effectExtent b="0" l="0" r="0" t="0"/>
            <wp:docPr descr="Validation attaches to the trunk, before the fan-out. Every destination downstream inherits one qualification rather than negotiating its own, and what differs between them is the mount, never the software." title="" id="161" name="Picture"/>
            <a:graphic>
              <a:graphicData uri="http://schemas.openxmlformats.org/drawingml/2006/picture">
                <pic:pic>
                  <pic:nvPicPr>
                    <pic:cNvPr descr="diagrams/fig12-one-answer.png" id="162" name="Picture"/>
                    <pic:cNvPicPr>
                      <a:picLocks noChangeArrowheads="1"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1344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Validation attaches to the trunk, before the fan-out. Every destination</w:t>
      </w:r>
      <w:r>
        <w:t xml:space="preserve"> </w:t>
      </w:r>
      <w:r>
        <w:t xml:space="preserve">downstream inherits one qualification rather than negotiating its own, and what</w:t>
      </w:r>
      <w:r>
        <w:t xml:space="preserve"> </w:t>
      </w:r>
      <w:r>
        <w:t xml:space="preserve">differs between them is the mount, never the</w:t>
      </w:r>
      <w:r>
        <w:t xml:space="preserve"> </w:t>
      </w:r>
      <w:r>
        <w:t xml:space="preserve">software.</w:t>
      </w:r>
    </w:p>
    <w:p>
      <w:pPr>
        <w:pStyle w:val="BodyText"/>
      </w:pPr>
      <w:r>
        <w:rPr>
          <w:b/>
          <w:bCs/>
        </w:rPr>
        <w:t xml:space="preserve">“</w:t>
      </w:r>
      <w:r>
        <w:rPr>
          <w:b/>
          <w:bCs/>
        </w:rPr>
        <w:t xml:space="preserve">Which version is this?</w:t>
      </w:r>
      <w:r>
        <w:rPr>
          <w:b/>
          <w:bCs/>
        </w:rPr>
        <w:t xml:space="preserve">”</w:t>
      </w:r>
      <w:r>
        <w:rPr>
          <w:b/>
          <w:bCs/>
        </w:rPr>
        <w:t xml:space="preserve"> </w:t>
      </w:r>
      <w:r>
        <w:rPr>
          <w:b/>
          <w:bCs/>
        </w:rPr>
        <w:t xml:space="preserve">has one answer.</w:t>
      </w:r>
      <w:r>
        <w:t xml:space="preserve"> </w:t>
      </w:r>
      <w:r>
        <w:t xml:space="preserve">A named environment resolves to a</w:t>
      </w:r>
      <w:r>
        <w:t xml:space="preserve"> </w:t>
      </w:r>
      <w:r>
        <w:t xml:space="preserve">specific published path on a specific revision. Ask every place in the estate</w:t>
      </w:r>
      <w:r>
        <w:t xml:space="preserve"> </w:t>
      </w:r>
      <w:r>
        <w:t xml:space="preserve">whether they are offering the same</w:t>
      </w:r>
      <w:r>
        <w:t xml:space="preserve"> </w:t>
      </w:r>
      <w:r>
        <w:rPr>
          <w:rStyle w:val="VerbatimChar"/>
        </w:rPr>
        <w:t xml:space="preserve">R 4.5.1</w:t>
      </w:r>
      <w:r>
        <w:t xml:space="preserve"> </w:t>
      </w:r>
      <w:r>
        <w:t xml:space="preserve">- same source, same compiler, same</w:t>
      </w:r>
      <w:r>
        <w:t xml:space="preserve"> </w:t>
      </w:r>
      <w:r>
        <w:t xml:space="preserve">BLAS, same bytes - and there is now a way for the answer to be yes.</w:t>
      </w:r>
    </w:p>
    <w:p>
      <w:pPr>
        <w:pStyle w:val="BodyText"/>
      </w:pPr>
      <w:r>
        <w:rPr>
          <w:b/>
          <w:bCs/>
        </w:rPr>
        <w:t xml:space="preserve">Approval attaches once, on the trunk.</w:t>
      </w:r>
      <w:r>
        <w:t xml:space="preserve"> </w:t>
      </w:r>
      <w:r>
        <w:t xml:space="preserve">Where a validation process exists, it</w:t>
      </w:r>
      <w:r>
        <w:t xml:space="preserve"> </w:t>
      </w:r>
      <w:r>
        <w:t xml:space="preserve">applies to the published tree rather than to each destination. A second approval</w:t>
      </w:r>
      <w:r>
        <w:t xml:space="preserve"> </w:t>
      </w:r>
      <w:r>
        <w:t xml:space="preserve">path is not redundancy; it is two things to keep in agreement forever.</w:t>
      </w:r>
    </w:p>
    <w:p>
      <w:pPr>
        <w:pStyle w:val="BodyText"/>
      </w:pPr>
      <w:r>
        <w:rPr>
          <w:b/>
          <w:bCs/>
        </w:rPr>
        <w:t xml:space="preserve">Reproducing an old result is a mount, not a rebuild.</w:t>
      </w:r>
      <w:r>
        <w:t xml:space="preserve"> </w:t>
      </w:r>
      <w:r>
        <w:t xml:space="preserve">Old revisions stay</w:t>
      </w:r>
      <w:r>
        <w:t xml:space="preserve"> </w:t>
      </w:r>
      <w:r>
        <w:t xml:space="preserve">published and old environments stay mountable. The difference between minutes and</w:t>
      </w:r>
      <w:r>
        <w:t xml:space="preserve"> </w:t>
      </w:r>
      <w:r>
        <w:t xml:space="preserve">a week, and between evidence and an assertion.</w:t>
      </w:r>
    </w:p>
    <w:p>
      <w:pPr>
        <w:pStyle w:val="BodyText"/>
      </w:pPr>
      <w:r>
        <w:rPr>
          <w:b/>
          <w:bCs/>
        </w:rPr>
        <w:t xml:space="preserve">Changing architecture stops being a project.</w:t>
      </w:r>
      <w:r>
        <w:t xml:space="preserve"> </w:t>
      </w:r>
      <w:r>
        <w:t xml:space="preserve">Arm instances are materially</w:t>
      </w:r>
      <w:r>
        <w:t xml:space="preserve"> </w:t>
      </w:r>
      <w:r>
        <w:t xml:space="preserve">cheaper for a lot of analytical work, and moving normally means a recompile, a</w:t>
      </w:r>
      <w:r>
        <w:t xml:space="preserve"> </w:t>
      </w:r>
      <w:r>
        <w:t xml:space="preserve">revalidation and a second environment to defend. Here it is the same line</w:t>
      </w:r>
      <w:r>
        <w:t xml:space="preserve"> </w:t>
      </w:r>
      <w:r>
        <w:t xml:space="preserve">resolving to a differently optimised build of the same thing.</w:t>
      </w:r>
    </w:p>
    <w:p>
      <w:pPr>
        <w:pStyle w:val="BodyText"/>
      </w:pPr>
      <w:r>
        <w:t xml:space="preserve">None of this is novel and all of it is in production. The useful conversation is</w:t>
      </w:r>
      <w:r>
        <w:t xml:space="preserve"> </w:t>
      </w:r>
      <w:r>
        <w:t xml:space="preserve">not whether the model works - two national programmes have answered that - but</w:t>
      </w:r>
      <w:r>
        <w:t xml:space="preserve"> </w:t>
      </w:r>
      <w:r>
        <w:rPr>
          <w:i/>
          <w:iCs/>
        </w:rPr>
        <w:t xml:space="preserve">which parts of it fit the estate you already have</w:t>
      </w:r>
      <w:r>
        <w:t xml:space="preserve">.</w:t>
      </w:r>
    </w:p>
    <w:bookmarkEnd w:id="163"/>
    <w:bookmarkStart w:id="164" w:name="references"/>
    <w:p>
      <w:pPr>
        <w:pStyle w:val="Heading1"/>
      </w:pPr>
      <w:r>
        <w:t xml:space="preserve">References</w:t>
      </w:r>
    </w:p>
    <w:bookmarkEnd w:id="16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Oldeman, B. et al. (2023).</w:t>
      </w:r>
      <w:r>
        <w:t xml:space="preserve"> </w:t>
      </w:r>
      <w:r>
        <w:rPr>
          <w:i/>
          <w:iCs/>
        </w:rPr>
        <w:t xml:space="preserve">Digital Research Alliance of Canada site talk:</w:t>
      </w:r>
      <w:r>
        <w:rPr>
          <w:i/>
          <w:iCs/>
        </w:rPr>
        <w:t xml:space="preserve"> </w:t>
      </w:r>
      <w:r>
        <w:rPr>
          <w:i/>
          <w:iCs/>
        </w:rPr>
        <w:t xml:space="preserve">lessons learned, new developments.</w:t>
      </w:r>
      <w:r>
        <w:t xml:space="preserve"> </w:t>
      </w:r>
      <w:r>
        <w:t xml:space="preserve">EasyBuild User Meeting 2023.</w:t>
      </w:r>
      <w:r>
        <w:t xml:space="preserve"> </w:t>
      </w:r>
      <w:hyperlink r:id="rId22">
        <w:r>
          <w:rPr>
            <w:rStyle w:val="Hyperlink"/>
          </w:rPr>
          <w:t xml:space="preserve">https://easybuild.io/eum23/</w:t>
        </w:r>
      </w:hyperlink>
      <w:r>
        <w:t xml:space="preserve"> </w:t>
      </w:r>
      <w:r>
        <w:t xml:space="preserve">— the guiding principle, the distribution-version</w:t>
      </w:r>
      <w:r>
        <w:t xml:space="preserve"> </w:t>
      </w:r>
      <w:r>
        <w:t xml:space="preserve">comparison, and the Nix post-mortem.</w:t>
      </w:r>
    </w:p>
  </w:footnote>
  <w:footnote w:id="2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Oldeman, B. et al. (2025).</w:t>
      </w:r>
      <w:r>
        <w:t xml:space="preserve"> </w:t>
      </w:r>
      <w:r>
        <w:rPr>
          <w:i/>
          <w:iCs/>
        </w:rPr>
        <w:t xml:space="preserve">Digital Research Alliance of Canada site talk.</w:t>
      </w:r>
      <w:r>
        <w:t xml:space="preserve"> </w:t>
      </w:r>
      <w:r>
        <w:t xml:space="preserve">EasyBuild User Meeting 2025.</w:t>
      </w:r>
      <w:r>
        <w:t xml:space="preserve"> </w:t>
      </w:r>
      <w:hyperlink r:id="rId24">
        <w:r>
          <w:rPr>
            <w:rStyle w:val="Hyperlink"/>
          </w:rPr>
          <w:t xml:space="preserve">https://users.ugent.be/~kehoste/eum25/</w:t>
        </w:r>
      </w:hyperlink>
      <w:r>
        <w:t xml:space="preserve"> </w:t>
      </w:r>
      <w:r>
        <w:t xml:space="preserve">— the</w:t>
      </w:r>
      <w:r>
        <w:t xml:space="preserve"> </w:t>
      </w:r>
      <w:r>
        <w:t xml:space="preserve">current path layout, StdEnv/2023, the wheelhouse, the build cluster, the</w:t>
      </w:r>
      <w:r>
        <w:t xml:space="preserve"> </w:t>
      </w:r>
      <w:r>
        <w:t xml:space="preserve">promotion ladder, and the prefix-friction list.</w:t>
      </w:r>
    </w:p>
  </w:footnote>
  <w:footnote w:id="2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Oldeman, B. et al. (2025).</w:t>
      </w:r>
      <w:r>
        <w:t xml:space="preserve"> </w:t>
      </w:r>
      <w:r>
        <w:rPr>
          <w:i/>
          <w:iCs/>
        </w:rPr>
        <w:t xml:space="preserve">Digital Research Alliance of Canada site talk.</w:t>
      </w:r>
      <w:r>
        <w:t xml:space="preserve"> </w:t>
      </w:r>
      <w:r>
        <w:t xml:space="preserve">EasyBuild User Meeting 2025.</w:t>
      </w:r>
      <w:r>
        <w:t xml:space="preserve"> </w:t>
      </w:r>
      <w:hyperlink r:id="rId24">
        <w:r>
          <w:rPr>
            <w:rStyle w:val="Hyperlink"/>
          </w:rPr>
          <w:t xml:space="preserve">https://users.ugent.be/~kehoste/eum25/</w:t>
        </w:r>
      </w:hyperlink>
      <w:r>
        <w:t xml:space="preserve"> </w:t>
      </w:r>
      <w:r>
        <w:t xml:space="preserve">— the</w:t>
      </w:r>
      <w:r>
        <w:t xml:space="preserve"> </w:t>
      </w:r>
      <w:r>
        <w:t xml:space="preserve">current path layout, StdEnv/2023, the wheelhouse, the build cluster, the</w:t>
      </w:r>
      <w:r>
        <w:t xml:space="preserve"> </w:t>
      </w:r>
      <w:r>
        <w:t xml:space="preserve">promotion ladder, and the prefix-friction list.</w:t>
      </w:r>
    </w:p>
  </w:footnote>
  <w:footnote w:id="2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Boissonneault, M., Oldeman, B., Taylor, R. (2019).</w:t>
      </w:r>
      <w:r>
        <w:t xml:space="preserve"> </w:t>
      </w:r>
      <w:r>
        <w:rPr>
          <w:i/>
          <w:iCs/>
        </w:rPr>
        <w:t xml:space="preserve">Providing a Unified</w:t>
      </w:r>
      <w:r>
        <w:rPr>
          <w:i/>
          <w:iCs/>
        </w:rPr>
        <w:t xml:space="preserve"> </w:t>
      </w:r>
      <w:r>
        <w:rPr>
          <w:i/>
          <w:iCs/>
        </w:rPr>
        <w:t xml:space="preserve">Software Environment for Canada’s National Advanced Computing Centers.</w:t>
      </w:r>
      <w:r>
        <w:t xml:space="preserve"> </w:t>
      </w:r>
      <w:r>
        <w:t xml:space="preserve">PEARC’19.</w:t>
      </w:r>
      <w:r>
        <w:t xml:space="preserve"> </w:t>
      </w:r>
      <w:hyperlink r:id="rId30">
        <w:r>
          <w:rPr>
            <w:rStyle w:val="Hyperlink"/>
          </w:rPr>
          <w:t xml:space="preserve">https://doi.org/10.1145/3332186.3332210</w:t>
        </w:r>
      </w:hyperlink>
      <w:r>
        <w:t xml:space="preserve"> </w:t>
      </w:r>
      <w:r>
        <w:t xml:space="preserve">— the peer-reviewed statement of the</w:t>
      </w:r>
      <w:r>
        <w:t xml:space="preserve"> </w:t>
      </w:r>
      <w:r>
        <w:t xml:space="preserve">whole model. If you read one thing on this list, read this.</w:t>
      </w:r>
    </w:p>
  </w:footnote>
  <w:footnote w:id="3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Oldeman, B. et al. (2025).</w:t>
      </w:r>
      <w:r>
        <w:t xml:space="preserve"> </w:t>
      </w:r>
      <w:r>
        <w:rPr>
          <w:i/>
          <w:iCs/>
        </w:rPr>
        <w:t xml:space="preserve">Digital Research Alliance of Canada site talk.</w:t>
      </w:r>
      <w:r>
        <w:t xml:space="preserve"> </w:t>
      </w:r>
      <w:r>
        <w:t xml:space="preserve">EasyBuild User Meeting 2025.</w:t>
      </w:r>
      <w:r>
        <w:t xml:space="preserve"> </w:t>
      </w:r>
      <w:hyperlink r:id="rId24">
        <w:r>
          <w:rPr>
            <w:rStyle w:val="Hyperlink"/>
          </w:rPr>
          <w:t xml:space="preserve">https://users.ugent.be/~kehoste/eum25/</w:t>
        </w:r>
      </w:hyperlink>
      <w:r>
        <w:t xml:space="preserve"> </w:t>
      </w:r>
      <w:r>
        <w:t xml:space="preserve">— the</w:t>
      </w:r>
      <w:r>
        <w:t xml:space="preserve"> </w:t>
      </w:r>
      <w:r>
        <w:t xml:space="preserve">current path layout, StdEnv/2023, the wheelhouse, the build cluster, the</w:t>
      </w:r>
      <w:r>
        <w:t xml:space="preserve"> </w:t>
      </w:r>
      <w:r>
        <w:t xml:space="preserve">promotion ladder, and the prefix-friction list.</w:t>
      </w:r>
    </w:p>
  </w:footnote>
  <w:footnote w:id="3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Völkl, V., Christodoulis, G., Blomer, J., with Hoste, K. et al. (2026).</w:t>
      </w:r>
      <w:r>
        <w:t xml:space="preserve"> </w:t>
      </w:r>
      <w:r>
        <w:rPr>
          <w:i/>
          <w:iCs/>
        </w:rPr>
        <w:t xml:space="preserve">Introduction to CernVM-FS.</w:t>
      </w:r>
      <w:r>
        <w:t xml:space="preserve"> </w:t>
      </w:r>
      <w:r>
        <w:t xml:space="preserve">EESSI webinar, 18 May 2026.</w:t>
      </w:r>
      <w:r>
        <w:t xml:space="preserve"> </w:t>
      </w:r>
      <w:hyperlink r:id="rId35">
        <w:r>
          <w:rPr>
            <w:rStyle w:val="Hyperlink"/>
          </w:rPr>
          <w:t xml:space="preserve">https://www.eessi.io/docs/training-events/</w:t>
        </w:r>
      </w:hyperlink>
      <w:r>
        <w:t xml:space="preserve"> </w:t>
      </w:r>
      <w:r>
        <w:t xml:space="preserve">— current scale figures, the</w:t>
      </w:r>
      <w:r>
        <w:t xml:space="preserve"> </w:t>
      </w:r>
      <w:r>
        <w:t xml:space="preserve">software start-up measurements, and the error-message decoding.</w:t>
      </w:r>
    </w:p>
  </w:footnote>
  <w:footnote w:id="3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CernVM-FS project.</w:t>
      </w:r>
      <w:r>
        <w:t xml:space="preserve"> </w:t>
      </w:r>
      <w:r>
        <w:rPr>
          <w:i/>
          <w:iCs/>
        </w:rPr>
        <w:t xml:space="preserve">CernVM-FS documentation.</w:t>
      </w:r>
      <w:r>
        <w:t xml:space="preserve"> </w:t>
      </w:r>
      <w:hyperlink r:id="rId37">
        <w:r>
          <w:rPr>
            <w:rStyle w:val="Hyperlink"/>
          </w:rPr>
          <w:t xml:space="preserve">https://cvmfs.readthedocs.io</w:t>
        </w:r>
      </w:hyperlink>
      <w:r>
        <w:t xml:space="preserve"> </w:t>
      </w:r>
      <w:r>
        <w:t xml:space="preserve">— manifest fields, catalog structure, cache behaviour, publishing transactions,</w:t>
      </w:r>
      <w:r>
        <w:t xml:space="preserve"> </w:t>
      </w:r>
      <w:r>
        <w:t xml:space="preserve">garbage collection and DUCC. The</w:t>
      </w:r>
      <w:r>
        <w:t xml:space="preserve"> </w:t>
      </w:r>
      <w:r>
        <w:rPr>
          <w:rStyle w:val="VerbatimChar"/>
        </w:rPr>
        <w:t xml:space="preserve">cpt-details</w:t>
      </w:r>
      <w:r>
        <w:t xml:space="preserve"> </w:t>
      </w:r>
      <w:r>
        <w:t xml:space="preserve">chapter is the one to read.</w:t>
      </w:r>
    </w:p>
  </w:footnote>
  <w:footnote w:id="3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Völkl, V., Christodoulis, G., Blomer, J., with Hoste, K. et al. (2026).</w:t>
      </w:r>
      <w:r>
        <w:t xml:space="preserve"> </w:t>
      </w:r>
      <w:r>
        <w:rPr>
          <w:i/>
          <w:iCs/>
        </w:rPr>
        <w:t xml:space="preserve">Introduction to CernVM-FS.</w:t>
      </w:r>
      <w:r>
        <w:t xml:space="preserve"> </w:t>
      </w:r>
      <w:r>
        <w:t xml:space="preserve">EESSI webinar, 18 May 2026.</w:t>
      </w:r>
      <w:r>
        <w:t xml:space="preserve"> </w:t>
      </w:r>
      <w:hyperlink r:id="rId35">
        <w:r>
          <w:rPr>
            <w:rStyle w:val="Hyperlink"/>
          </w:rPr>
          <w:t xml:space="preserve">https://www.eessi.io/docs/training-events/</w:t>
        </w:r>
      </w:hyperlink>
      <w:r>
        <w:t xml:space="preserve"> </w:t>
      </w:r>
      <w:r>
        <w:t xml:space="preserve">— current scale figures, the</w:t>
      </w:r>
      <w:r>
        <w:t xml:space="preserve"> </w:t>
      </w:r>
      <w:r>
        <w:t xml:space="preserve">software start-up measurements, and the error-message decoding.</w:t>
      </w:r>
    </w:p>
  </w:footnote>
  <w:footnote w:id="4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Blomer, J., Buncic, P., Fuhrmann, T. (2011).</w:t>
      </w:r>
      <w:r>
        <w:t xml:space="preserve"> </w:t>
      </w:r>
      <w:r>
        <w:rPr>
          <w:i/>
          <w:iCs/>
        </w:rPr>
        <w:t xml:space="preserve">CernVM-FS: Delivering</w:t>
      </w:r>
      <w:r>
        <w:rPr>
          <w:i/>
          <w:iCs/>
        </w:rPr>
        <w:t xml:space="preserve"> </w:t>
      </w:r>
      <w:r>
        <w:rPr>
          <w:i/>
          <w:iCs/>
        </w:rPr>
        <w:t xml:space="preserve">Scientific Software to Globally Distributed Computing Resources.</w:t>
      </w:r>
      <w:r>
        <w:t xml:space="preserve"> </w:t>
      </w:r>
      <w:r>
        <w:t xml:space="preserve">NDM’11.</w:t>
      </w:r>
      <w:r>
        <w:t xml:space="preserve"> </w:t>
      </w:r>
      <w:hyperlink r:id="rId41">
        <w:r>
          <w:rPr>
            <w:rStyle w:val="Hyperlink"/>
          </w:rPr>
          <w:t xml:space="preserve">https://doi.org/10.1145/2110217.2110225</w:t>
        </w:r>
      </w:hyperlink>
      <w:r>
        <w:t xml:space="preserve"> </w:t>
      </w:r>
      <w:r>
        <w:t xml:space="preserve">— the original design, and the source</w:t>
      </w:r>
      <w:r>
        <w:t xml:space="preserve"> </w:t>
      </w:r>
      <w:r>
        <w:t xml:space="preserve">of the content-addressed, HTTP-transported model.</w:t>
      </w:r>
    </w:p>
  </w:footnote>
  <w:footnote w:id="4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CernVM-FS project.</w:t>
      </w:r>
      <w:r>
        <w:t xml:space="preserve"> </w:t>
      </w:r>
      <w:r>
        <w:rPr>
          <w:i/>
          <w:iCs/>
        </w:rPr>
        <w:t xml:space="preserve">CernVM-FS documentation.</w:t>
      </w:r>
      <w:r>
        <w:t xml:space="preserve"> </w:t>
      </w:r>
      <w:hyperlink r:id="rId37">
        <w:r>
          <w:rPr>
            <w:rStyle w:val="Hyperlink"/>
          </w:rPr>
          <w:t xml:space="preserve">https://cvmfs.readthedocs.io</w:t>
        </w:r>
      </w:hyperlink>
      <w:r>
        <w:t xml:space="preserve"> </w:t>
      </w:r>
      <w:r>
        <w:t xml:space="preserve">— manifest fields, catalog structure, cache behaviour, publishing transactions,</w:t>
      </w:r>
      <w:r>
        <w:t xml:space="preserve"> </w:t>
      </w:r>
      <w:r>
        <w:t xml:space="preserve">garbage collection and DUCC. The</w:t>
      </w:r>
      <w:r>
        <w:t xml:space="preserve"> </w:t>
      </w:r>
      <w:r>
        <w:rPr>
          <w:rStyle w:val="VerbatimChar"/>
        </w:rPr>
        <w:t xml:space="preserve">cpt-details</w:t>
      </w:r>
      <w:r>
        <w:t xml:space="preserve"> </w:t>
      </w:r>
      <w:r>
        <w:t xml:space="preserve">chapter is the one to read.</w:t>
      </w:r>
    </w:p>
  </w:footnote>
  <w:footnote w:id="4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MultiXscale / EESSI.</w:t>
      </w:r>
      <w:r>
        <w:t xml:space="preserve"> </w:t>
      </w:r>
      <w:r>
        <w:rPr>
          <w:i/>
          <w:iCs/>
        </w:rPr>
        <w:t xml:space="preserve">Best Practices for CernVM-FS in HPC.</w:t>
      </w:r>
      <w:r>
        <w:t xml:space="preserve"> </w:t>
      </w:r>
      <w:hyperlink r:id="rId44">
        <w:r>
          <w:rPr>
            <w:rStyle w:val="Hyperlink"/>
          </w:rPr>
          <w:t xml:space="preserve">https://multixscale.github.io/cvmfs-tutorial-hpc-best-practices/</w:t>
        </w:r>
      </w:hyperlink>
      <w:r>
        <w:t xml:space="preserve"> </w:t>
      </w:r>
      <w:r>
        <w:t xml:space="preserve">— proxy and</w:t>
      </w:r>
      <w:r>
        <w:t xml:space="preserve"> </w:t>
      </w:r>
      <w:r>
        <w:t xml:space="preserve">Stratum 1 sizing, diskless cache configuration, and which workarounds are no</w:t>
      </w:r>
      <w:r>
        <w:t xml:space="preserve"> </w:t>
      </w:r>
      <w:r>
        <w:t xml:space="preserve">longer recommended.</w:t>
      </w:r>
    </w:p>
  </w:footnote>
  <w:footnote w:id="4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CernVM-FS project.</w:t>
      </w:r>
      <w:r>
        <w:t xml:space="preserve"> </w:t>
      </w:r>
      <w:r>
        <w:rPr>
          <w:i/>
          <w:iCs/>
        </w:rPr>
        <w:t xml:space="preserve">CernVM-FS documentation.</w:t>
      </w:r>
      <w:r>
        <w:t xml:space="preserve"> </w:t>
      </w:r>
      <w:hyperlink r:id="rId37">
        <w:r>
          <w:rPr>
            <w:rStyle w:val="Hyperlink"/>
          </w:rPr>
          <w:t xml:space="preserve">https://cvmfs.readthedocs.io</w:t>
        </w:r>
      </w:hyperlink>
      <w:r>
        <w:t xml:space="preserve"> </w:t>
      </w:r>
      <w:r>
        <w:t xml:space="preserve">— manifest fields, catalog structure, cache behaviour, publishing transactions,</w:t>
      </w:r>
      <w:r>
        <w:t xml:space="preserve"> </w:t>
      </w:r>
      <w:r>
        <w:t xml:space="preserve">garbage collection and DUCC. The</w:t>
      </w:r>
      <w:r>
        <w:t xml:space="preserve"> </w:t>
      </w:r>
      <w:r>
        <w:rPr>
          <w:rStyle w:val="VerbatimChar"/>
        </w:rPr>
        <w:t xml:space="preserve">cpt-details</w:t>
      </w:r>
      <w:r>
        <w:t xml:space="preserve"> </w:t>
      </w:r>
      <w:r>
        <w:t xml:space="preserve">chapter is the one to read.</w:t>
      </w:r>
    </w:p>
  </w:footnote>
  <w:footnote w:id="5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Völkl, V., Christodoulis, G., Blomer, J., with Hoste, K. et al. (2026).</w:t>
      </w:r>
      <w:r>
        <w:t xml:space="preserve"> </w:t>
      </w:r>
      <w:r>
        <w:rPr>
          <w:i/>
          <w:iCs/>
        </w:rPr>
        <w:t xml:space="preserve">Introduction to CernVM-FS.</w:t>
      </w:r>
      <w:r>
        <w:t xml:space="preserve"> </w:t>
      </w:r>
      <w:r>
        <w:t xml:space="preserve">EESSI webinar, 18 May 2026.</w:t>
      </w:r>
      <w:r>
        <w:t xml:space="preserve"> </w:t>
      </w:r>
      <w:hyperlink r:id="rId35">
        <w:r>
          <w:rPr>
            <w:rStyle w:val="Hyperlink"/>
          </w:rPr>
          <w:t xml:space="preserve">https://www.eessi.io/docs/training-events/</w:t>
        </w:r>
      </w:hyperlink>
      <w:r>
        <w:t xml:space="preserve"> </w:t>
      </w:r>
      <w:r>
        <w:t xml:space="preserve">— current scale figures, the</w:t>
      </w:r>
      <w:r>
        <w:t xml:space="preserve"> </w:t>
      </w:r>
      <w:r>
        <w:t xml:space="preserve">software start-up measurements, and the error-message decoding.</w:t>
      </w:r>
    </w:p>
  </w:footnote>
  <w:footnote w:id="5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MultiXscale / EESSI.</w:t>
      </w:r>
      <w:r>
        <w:t xml:space="preserve"> </w:t>
      </w:r>
      <w:r>
        <w:rPr>
          <w:i/>
          <w:iCs/>
        </w:rPr>
        <w:t xml:space="preserve">Best Practices for CernVM-FS in HPC.</w:t>
      </w:r>
      <w:r>
        <w:t xml:space="preserve"> </w:t>
      </w:r>
      <w:hyperlink r:id="rId44">
        <w:r>
          <w:rPr>
            <w:rStyle w:val="Hyperlink"/>
          </w:rPr>
          <w:t xml:space="preserve">https://multixscale.github.io/cvmfs-tutorial-hpc-best-practices/</w:t>
        </w:r>
      </w:hyperlink>
      <w:r>
        <w:t xml:space="preserve"> </w:t>
      </w:r>
      <w:r>
        <w:t xml:space="preserve">— proxy and</w:t>
      </w:r>
      <w:r>
        <w:t xml:space="preserve"> </w:t>
      </w:r>
      <w:r>
        <w:t xml:space="preserve">Stratum 1 sizing, diskless cache configuration, and which workarounds are no</w:t>
      </w:r>
      <w:r>
        <w:t xml:space="preserve"> </w:t>
      </w:r>
      <w:r>
        <w:t xml:space="preserve">longer recommended.</w:t>
      </w:r>
    </w:p>
  </w:footnote>
  <w:footnote w:id="5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Völkl, V., Christodoulis, G., Blomer, J., with Hoste, K. et al. (2026).</w:t>
      </w:r>
      <w:r>
        <w:t xml:space="preserve"> </w:t>
      </w:r>
      <w:r>
        <w:rPr>
          <w:i/>
          <w:iCs/>
        </w:rPr>
        <w:t xml:space="preserve">Introduction to CernVM-FS.</w:t>
      </w:r>
      <w:r>
        <w:t xml:space="preserve"> </w:t>
      </w:r>
      <w:r>
        <w:t xml:space="preserve">EESSI webinar, 18 May 2026.</w:t>
      </w:r>
      <w:r>
        <w:t xml:space="preserve"> </w:t>
      </w:r>
      <w:hyperlink r:id="rId35">
        <w:r>
          <w:rPr>
            <w:rStyle w:val="Hyperlink"/>
          </w:rPr>
          <w:t xml:space="preserve">https://www.eessi.io/docs/training-events/</w:t>
        </w:r>
      </w:hyperlink>
      <w:r>
        <w:t xml:space="preserve"> </w:t>
      </w:r>
      <w:r>
        <w:t xml:space="preserve">— current scale figures, the</w:t>
      </w:r>
      <w:r>
        <w:t xml:space="preserve"> </w:t>
      </w:r>
      <w:r>
        <w:t xml:space="preserve">software start-up measurements, and the error-message decoding.</w:t>
      </w:r>
    </w:p>
  </w:footnote>
  <w:footnote w:id="5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MultiXscale / EESSI.</w:t>
      </w:r>
      <w:r>
        <w:t xml:space="preserve"> </w:t>
      </w:r>
      <w:r>
        <w:rPr>
          <w:i/>
          <w:iCs/>
        </w:rPr>
        <w:t xml:space="preserve">Best Practices for CernVM-FS in HPC.</w:t>
      </w:r>
      <w:r>
        <w:t xml:space="preserve"> </w:t>
      </w:r>
      <w:hyperlink r:id="rId44">
        <w:r>
          <w:rPr>
            <w:rStyle w:val="Hyperlink"/>
          </w:rPr>
          <w:t xml:space="preserve">https://multixscale.github.io/cvmfs-tutorial-hpc-best-practices/</w:t>
        </w:r>
      </w:hyperlink>
      <w:r>
        <w:t xml:space="preserve"> </w:t>
      </w:r>
      <w:r>
        <w:t xml:space="preserve">— proxy and</w:t>
      </w:r>
      <w:r>
        <w:t xml:space="preserve"> </w:t>
      </w:r>
      <w:r>
        <w:t xml:space="preserve">Stratum 1 sizing, diskless cache configuration, and which workarounds are no</w:t>
      </w:r>
      <w:r>
        <w:t xml:space="preserve"> </w:t>
      </w:r>
      <w:r>
        <w:t xml:space="preserve">longer recommended.</w:t>
      </w:r>
    </w:p>
  </w:footnote>
  <w:footnote w:id="5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Völkl, V., Christodoulis, G., Blomer, J., with Hoste, K. et al. (2026).</w:t>
      </w:r>
      <w:r>
        <w:t xml:space="preserve"> </w:t>
      </w:r>
      <w:r>
        <w:rPr>
          <w:i/>
          <w:iCs/>
        </w:rPr>
        <w:t xml:space="preserve">Introduction to CernVM-FS.</w:t>
      </w:r>
      <w:r>
        <w:t xml:space="preserve"> </w:t>
      </w:r>
      <w:r>
        <w:t xml:space="preserve">EESSI webinar, 18 May 2026.</w:t>
      </w:r>
      <w:r>
        <w:t xml:space="preserve"> </w:t>
      </w:r>
      <w:hyperlink r:id="rId35">
        <w:r>
          <w:rPr>
            <w:rStyle w:val="Hyperlink"/>
          </w:rPr>
          <w:t xml:space="preserve">https://www.eessi.io/docs/training-events/</w:t>
        </w:r>
      </w:hyperlink>
      <w:r>
        <w:t xml:space="preserve"> </w:t>
      </w:r>
      <w:r>
        <w:t xml:space="preserve">— current scale figures, the</w:t>
      </w:r>
      <w:r>
        <w:t xml:space="preserve"> </w:t>
      </w:r>
      <w:r>
        <w:t xml:space="preserve">software start-up measurements, and the error-message decoding.</w:t>
      </w:r>
    </w:p>
  </w:footnote>
  <w:footnote w:id="5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Blomer, J. et al. (2024).</w:t>
      </w:r>
      <w:r>
        <w:t xml:space="preserve"> </w:t>
      </w:r>
      <w:r>
        <w:rPr>
          <w:i/>
          <w:iCs/>
        </w:rPr>
        <w:t xml:space="preserve">CernVM-FS at Extreme Scales.</w:t>
      </w:r>
      <w:r>
        <w:t xml:space="preserve"> </w:t>
      </w:r>
      <w:r>
        <w:t xml:space="preserve">CHEP 2024, EPJ Web</w:t>
      </w:r>
      <w:r>
        <w:t xml:space="preserve"> </w:t>
      </w:r>
      <w:r>
        <w:t xml:space="preserve">of Conferences.</w:t>
      </w:r>
      <w:r>
        <w:t xml:space="preserve"> </w:t>
      </w:r>
      <w:hyperlink r:id="rId60">
        <w:r>
          <w:rPr>
            <w:rStyle w:val="Hyperlink"/>
          </w:rPr>
          <w:t xml:space="preserve">https://doi.org/10.1051/epjconf/202429504012</w:t>
        </w:r>
      </w:hyperlink>
      <w:r>
        <w:t xml:space="preserve"> </w:t>
      </w:r>
      <w:r>
        <w:t xml:space="preserve">— what breaks</w:t>
      </w:r>
      <w:r>
        <w:t xml:space="preserve"> </w:t>
      </w:r>
      <w:r>
        <w:t xml:space="preserve">first when a repository grows.</w:t>
      </w:r>
    </w:p>
  </w:footnote>
  <w:footnote w:id="6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Völkl, V., Christodoulis, G., Blomer, J., with Hoste, K. et al. (2026).</w:t>
      </w:r>
      <w:r>
        <w:t xml:space="preserve"> </w:t>
      </w:r>
      <w:r>
        <w:rPr>
          <w:i/>
          <w:iCs/>
        </w:rPr>
        <w:t xml:space="preserve">Introduction to CernVM-FS.</w:t>
      </w:r>
      <w:r>
        <w:t xml:space="preserve"> </w:t>
      </w:r>
      <w:r>
        <w:t xml:space="preserve">EESSI webinar, 18 May 2026.</w:t>
      </w:r>
      <w:r>
        <w:t xml:space="preserve"> </w:t>
      </w:r>
      <w:hyperlink r:id="rId35">
        <w:r>
          <w:rPr>
            <w:rStyle w:val="Hyperlink"/>
          </w:rPr>
          <w:t xml:space="preserve">https://www.eessi.io/docs/training-events/</w:t>
        </w:r>
      </w:hyperlink>
      <w:r>
        <w:t xml:space="preserve"> </w:t>
      </w:r>
      <w:r>
        <w:t xml:space="preserve">— current scale figures, the</w:t>
      </w:r>
      <w:r>
        <w:t xml:space="preserve"> </w:t>
      </w:r>
      <w:r>
        <w:t xml:space="preserve">software start-up measurements, and the error-message decoding.</w:t>
      </w:r>
    </w:p>
  </w:footnote>
  <w:footnote w:id="6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Völkl, V., Christodoulis, G., Blomer, J., with Hoste, K. et al. (2026).</w:t>
      </w:r>
      <w:r>
        <w:t xml:space="preserve"> </w:t>
      </w:r>
      <w:r>
        <w:rPr>
          <w:i/>
          <w:iCs/>
        </w:rPr>
        <w:t xml:space="preserve">Introduction to CernVM-FS.</w:t>
      </w:r>
      <w:r>
        <w:t xml:space="preserve"> </w:t>
      </w:r>
      <w:r>
        <w:t xml:space="preserve">EESSI webinar, 18 May 2026.</w:t>
      </w:r>
      <w:r>
        <w:t xml:space="preserve"> </w:t>
      </w:r>
      <w:hyperlink r:id="rId35">
        <w:r>
          <w:rPr>
            <w:rStyle w:val="Hyperlink"/>
          </w:rPr>
          <w:t xml:space="preserve">https://www.eessi.io/docs/training-events/</w:t>
        </w:r>
      </w:hyperlink>
      <w:r>
        <w:t xml:space="preserve"> </w:t>
      </w:r>
      <w:r>
        <w:t xml:space="preserve">— current scale figures, the</w:t>
      </w:r>
      <w:r>
        <w:t xml:space="preserve"> </w:t>
      </w:r>
      <w:r>
        <w:t xml:space="preserve">software start-up measurements, and the error-message decoding.</w:t>
      </w:r>
    </w:p>
  </w:footnote>
  <w:footnote w:id="6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Dröge, B., Holanda Rusu, V., Hoste, K. et al. (2023).</w:t>
      </w:r>
      <w:r>
        <w:t xml:space="preserve"> </w:t>
      </w:r>
      <w:r>
        <w:rPr>
          <w:i/>
          <w:iCs/>
        </w:rPr>
        <w:t xml:space="preserve">EESSI: A</w:t>
      </w:r>
      <w:r>
        <w:rPr>
          <w:i/>
          <w:iCs/>
        </w:rPr>
        <w:t xml:space="preserve"> </w:t>
      </w:r>
      <w:r>
        <w:rPr>
          <w:i/>
          <w:iCs/>
        </w:rPr>
        <w:t xml:space="preserve">cross-platform ready-to-use optimised scientific software stack.</w:t>
      </w:r>
      <w:r>
        <w:t xml:space="preserve"> </w:t>
      </w:r>
      <w:r>
        <w:t xml:space="preserve">Software:</w:t>
      </w:r>
      <w:r>
        <w:t xml:space="preserve"> </w:t>
      </w:r>
      <w:r>
        <w:t xml:space="preserve">Practice and Experience 53(1), 176-210.</w:t>
      </w:r>
      <w:r>
        <w:t xml:space="preserve"> </w:t>
      </w:r>
      <w:hyperlink r:id="rId70">
        <w:r>
          <w:rPr>
            <w:rStyle w:val="Hyperlink"/>
          </w:rPr>
          <w:t xml:space="preserve">https://doi.org/10.1002/spe.3075</w:t>
        </w:r>
      </w:hyperlink>
      <w:r>
        <w:t xml:space="preserve"> </w:t>
      </w:r>
      <w:r>
        <w:t xml:space="preserve">— the</w:t>
      </w:r>
      <w:r>
        <w:t xml:space="preserve"> </w:t>
      </w:r>
      <w:r>
        <w:t xml:space="preserve">full architectural argument with the performance evaluation attached.</w:t>
      </w:r>
    </w:p>
  </w:footnote>
  <w:footnote w:id="7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EESSI.</w:t>
      </w:r>
      <w:r>
        <w:t xml:space="preserve"> </w:t>
      </w:r>
      <w:r>
        <w:rPr>
          <w:i/>
          <w:iCs/>
        </w:rPr>
        <w:t xml:space="preserve">Project documentation.</w:t>
      </w:r>
      <w:r>
        <w:t xml:space="preserve"> </w:t>
      </w:r>
      <w:hyperlink r:id="rId72">
        <w:r>
          <w:rPr>
            <w:rStyle w:val="Hyperlink"/>
          </w:rPr>
          <w:t xml:space="preserve">https://www.eessi.io/docs/</w:t>
        </w:r>
      </w:hyperlink>
      <w:r>
        <w:t xml:space="preserve"> </w:t>
      </w:r>
      <w:r>
        <w:t xml:space="preserve">— paths,</w:t>
      </w:r>
      <w:r>
        <w:t xml:space="preserve"> </w:t>
      </w:r>
      <w:r>
        <w:t xml:space="preserve">versions, CPU targets, host injections, GPU support and the test suite.</w:t>
      </w:r>
    </w:p>
  </w:footnote>
  <w:footnote w:id="7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O’Cais, A., Vela, H. (2025).</w:t>
      </w:r>
      <w:r>
        <w:t xml:space="preserve"> </w:t>
      </w:r>
      <w:r>
        <w:rPr>
          <w:i/>
          <w:iCs/>
        </w:rPr>
        <w:t xml:space="preserve">EESSI layer decomposition.</w:t>
      </w:r>
      <w:r>
        <w:t xml:space="preserve"> </w:t>
      </w:r>
      <w:r>
        <w:t xml:space="preserve">HPCKP 2025.</w:t>
      </w:r>
      <w:r>
        <w:t xml:space="preserve"> </w:t>
      </w:r>
      <w:hyperlink r:id="rId74">
        <w:r>
          <w:rPr>
            <w:rStyle w:val="Hyperlink"/>
          </w:rPr>
          <w:t xml:space="preserve">https://www.hpckp.org/</w:t>
        </w:r>
      </w:hyperlink>
      <w:r>
        <w:t xml:space="preserve"> </w:t>
      </w:r>
      <w:r>
        <w:t xml:space="preserve">— a compact statement of the four-layer decomposition.</w:t>
      </w:r>
    </w:p>
  </w:footnote>
  <w:footnote w:id="7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Compute Canada (2018).</w:t>
      </w:r>
      <w:r>
        <w:t xml:space="preserve"> </w:t>
      </w:r>
      <w:r>
        <w:rPr>
          <w:i/>
          <w:iCs/>
        </w:rPr>
        <w:t xml:space="preserve">Combining CVMFS, Nix, Lmod and EasyBuild.</w:t>
      </w:r>
      <w:r>
        <w:t xml:space="preserve"> </w:t>
      </w:r>
      <w:r>
        <w:t xml:space="preserve">FOSDEM</w:t>
      </w:r>
      <w:r>
        <w:t xml:space="preserve"> </w:t>
      </w:r>
      <w:r>
        <w:t xml:space="preserve">2018.</w:t>
      </w:r>
      <w:r>
        <w:t xml:space="preserve"> </w:t>
      </w:r>
      <w:hyperlink r:id="rId79">
        <w:r>
          <w:rPr>
            <w:rStyle w:val="Hyperlink"/>
          </w:rPr>
          <w:t xml:space="preserve">https://archive.fosdem.org/2018/</w:t>
        </w:r>
      </w:hyperlink>
      <w:r>
        <w:t xml:space="preserve"> </w:t>
      </w:r>
      <w:r>
        <w:t xml:space="preserve">— the same architecture with a</w:t>
      </w:r>
      <w:r>
        <w:t xml:space="preserve"> </w:t>
      </w:r>
      <w:r>
        <w:t xml:space="preserve">different compatibility layer.</w:t>
      </w:r>
    </w:p>
  </w:footnote>
  <w:footnote w:id="8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Oldeman, B. et al. (2023).</w:t>
      </w:r>
      <w:r>
        <w:t xml:space="preserve"> </w:t>
      </w:r>
      <w:r>
        <w:rPr>
          <w:i/>
          <w:iCs/>
        </w:rPr>
        <w:t xml:space="preserve">Digital Research Alliance of Canada site talk:</w:t>
      </w:r>
      <w:r>
        <w:rPr>
          <w:i/>
          <w:iCs/>
        </w:rPr>
        <w:t xml:space="preserve"> </w:t>
      </w:r>
      <w:r>
        <w:rPr>
          <w:i/>
          <w:iCs/>
        </w:rPr>
        <w:t xml:space="preserve">lessons learned, new developments.</w:t>
      </w:r>
      <w:r>
        <w:t xml:space="preserve"> </w:t>
      </w:r>
      <w:r>
        <w:t xml:space="preserve">EasyBuild User Meeting 2023.</w:t>
      </w:r>
      <w:r>
        <w:t xml:space="preserve"> </w:t>
      </w:r>
      <w:hyperlink r:id="rId22">
        <w:r>
          <w:rPr>
            <w:rStyle w:val="Hyperlink"/>
          </w:rPr>
          <w:t xml:space="preserve">https://easybuild.io/eum23/</w:t>
        </w:r>
      </w:hyperlink>
      <w:r>
        <w:t xml:space="preserve"> </w:t>
      </w:r>
      <w:r>
        <w:t xml:space="preserve">— the guiding principle, the distribution-version</w:t>
      </w:r>
      <w:r>
        <w:t xml:space="preserve"> </w:t>
      </w:r>
      <w:r>
        <w:t xml:space="preserve">comparison, and the Nix post-mortem.</w:t>
      </w:r>
    </w:p>
  </w:footnote>
  <w:footnote w:id="8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EESSI.</w:t>
      </w:r>
      <w:r>
        <w:t xml:space="preserve"> </w:t>
      </w:r>
      <w:r>
        <w:rPr>
          <w:i/>
          <w:iCs/>
        </w:rPr>
        <w:t xml:space="preserve">Project documentation.</w:t>
      </w:r>
      <w:r>
        <w:t xml:space="preserve"> </w:t>
      </w:r>
      <w:hyperlink r:id="rId72">
        <w:r>
          <w:rPr>
            <w:rStyle w:val="Hyperlink"/>
          </w:rPr>
          <w:t xml:space="preserve">https://www.eessi.io/docs/</w:t>
        </w:r>
      </w:hyperlink>
      <w:r>
        <w:t xml:space="preserve"> </w:t>
      </w:r>
      <w:r>
        <w:t xml:space="preserve">— paths,</w:t>
      </w:r>
      <w:r>
        <w:t xml:space="preserve"> </w:t>
      </w:r>
      <w:r>
        <w:t xml:space="preserve">versions, CPU targets, host injections, GPU support and the test suite.</w:t>
      </w:r>
    </w:p>
  </w:footnote>
  <w:footnote w:id="8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Gentoo Project.</w:t>
      </w:r>
      <w:r>
        <w:t xml:space="preserve"> </w:t>
      </w:r>
      <w:r>
        <w:rPr>
          <w:i/>
          <w:iCs/>
        </w:rPr>
        <w:t xml:space="preserve">Gentoo Prefix.</w:t>
      </w:r>
      <w:r>
        <w:t xml:space="preserve"> </w:t>
      </w:r>
      <w:hyperlink r:id="rId85">
        <w:r>
          <w:rPr>
            <w:rStyle w:val="Hyperlink"/>
          </w:rPr>
          <w:t xml:space="preserve">https://wiki.gentoo.org/wiki/Project:Prefix</w:t>
        </w:r>
      </w:hyperlink>
      <w:r>
        <w:t xml:space="preserve"> </w:t>
      </w:r>
      <w:r>
        <w:t xml:space="preserve">— the compatibility layer</w:t>
      </w:r>
      <w:r>
        <w:t xml:space="preserve"> </w:t>
      </w:r>
      <w:r>
        <w:t xml:space="preserve">implementation, including the bootstrap.</w:t>
      </w:r>
    </w:p>
  </w:footnote>
  <w:footnote w:id="8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Oldeman, B. et al. (2023).</w:t>
      </w:r>
      <w:r>
        <w:t xml:space="preserve"> </w:t>
      </w:r>
      <w:r>
        <w:rPr>
          <w:i/>
          <w:iCs/>
        </w:rPr>
        <w:t xml:space="preserve">Digital Research Alliance of Canada site talk:</w:t>
      </w:r>
      <w:r>
        <w:rPr>
          <w:i/>
          <w:iCs/>
        </w:rPr>
        <w:t xml:space="preserve"> </w:t>
      </w:r>
      <w:r>
        <w:rPr>
          <w:i/>
          <w:iCs/>
        </w:rPr>
        <w:t xml:space="preserve">lessons learned, new developments.</w:t>
      </w:r>
      <w:r>
        <w:t xml:space="preserve"> </w:t>
      </w:r>
      <w:r>
        <w:t xml:space="preserve">EasyBuild User Meeting 2023.</w:t>
      </w:r>
      <w:r>
        <w:t xml:space="preserve"> </w:t>
      </w:r>
      <w:hyperlink r:id="rId22">
        <w:r>
          <w:rPr>
            <w:rStyle w:val="Hyperlink"/>
          </w:rPr>
          <w:t xml:space="preserve">https://easybuild.io/eum23/</w:t>
        </w:r>
      </w:hyperlink>
      <w:r>
        <w:t xml:space="preserve"> </w:t>
      </w:r>
      <w:r>
        <w:t xml:space="preserve">— the guiding principle, the distribution-version</w:t>
      </w:r>
      <w:r>
        <w:t xml:space="preserve"> </w:t>
      </w:r>
      <w:r>
        <w:t xml:space="preserve">comparison, and the Nix post-mortem.</w:t>
      </w:r>
    </w:p>
  </w:footnote>
  <w:footnote w:id="9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Oldeman, B. et al. (2025).</w:t>
      </w:r>
      <w:r>
        <w:t xml:space="preserve"> </w:t>
      </w:r>
      <w:r>
        <w:rPr>
          <w:i/>
          <w:iCs/>
        </w:rPr>
        <w:t xml:space="preserve">Digital Research Alliance of Canada site talk.</w:t>
      </w:r>
      <w:r>
        <w:t xml:space="preserve"> </w:t>
      </w:r>
      <w:r>
        <w:t xml:space="preserve">EasyBuild User Meeting 2025.</w:t>
      </w:r>
      <w:r>
        <w:t xml:space="preserve"> </w:t>
      </w:r>
      <w:hyperlink r:id="rId24">
        <w:r>
          <w:rPr>
            <w:rStyle w:val="Hyperlink"/>
          </w:rPr>
          <w:t xml:space="preserve">https://users.ugent.be/~kehoste/eum25/</w:t>
        </w:r>
      </w:hyperlink>
      <w:r>
        <w:t xml:space="preserve"> </w:t>
      </w:r>
      <w:r>
        <w:t xml:space="preserve">— the</w:t>
      </w:r>
      <w:r>
        <w:t xml:space="preserve"> </w:t>
      </w:r>
      <w:r>
        <w:t xml:space="preserve">current path layout, StdEnv/2023, the wheelhouse, the build cluster, the</w:t>
      </w:r>
      <w:r>
        <w:t xml:space="preserve"> </w:t>
      </w:r>
      <w:r>
        <w:t xml:space="preserve">promotion ladder, and the prefix-friction list.</w:t>
      </w:r>
    </w:p>
  </w:footnote>
  <w:footnote w:id="9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Oldeman, B. et al. (2025).</w:t>
      </w:r>
      <w:r>
        <w:t xml:space="preserve"> </w:t>
      </w:r>
      <w:r>
        <w:rPr>
          <w:i/>
          <w:iCs/>
        </w:rPr>
        <w:t xml:space="preserve">Digital Research Alliance of Canada site talk.</w:t>
      </w:r>
      <w:r>
        <w:t xml:space="preserve"> </w:t>
      </w:r>
      <w:r>
        <w:t xml:space="preserve">EasyBuild User Meeting 2025.</w:t>
      </w:r>
      <w:r>
        <w:t xml:space="preserve"> </w:t>
      </w:r>
      <w:hyperlink r:id="rId24">
        <w:r>
          <w:rPr>
            <w:rStyle w:val="Hyperlink"/>
          </w:rPr>
          <w:t xml:space="preserve">https://users.ugent.be/~kehoste/eum25/</w:t>
        </w:r>
      </w:hyperlink>
      <w:r>
        <w:t xml:space="preserve"> </w:t>
      </w:r>
      <w:r>
        <w:t xml:space="preserve">— the</w:t>
      </w:r>
      <w:r>
        <w:t xml:space="preserve"> </w:t>
      </w:r>
      <w:r>
        <w:t xml:space="preserve">current path layout, StdEnv/2023, the wheelhouse, the build cluster, the</w:t>
      </w:r>
      <w:r>
        <w:t xml:space="preserve"> </w:t>
      </w:r>
      <w:r>
        <w:t xml:space="preserve">promotion ladder, and the prefix-friction list.</w:t>
      </w:r>
    </w:p>
  </w:footnote>
  <w:footnote w:id="9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Oldeman, B. et al. (2023).</w:t>
      </w:r>
      <w:r>
        <w:t xml:space="preserve"> </w:t>
      </w:r>
      <w:r>
        <w:rPr>
          <w:i/>
          <w:iCs/>
        </w:rPr>
        <w:t xml:space="preserve">Digital Research Alliance of Canada site talk:</w:t>
      </w:r>
      <w:r>
        <w:rPr>
          <w:i/>
          <w:iCs/>
        </w:rPr>
        <w:t xml:space="preserve"> </w:t>
      </w:r>
      <w:r>
        <w:rPr>
          <w:i/>
          <w:iCs/>
        </w:rPr>
        <w:t xml:space="preserve">lessons learned, new developments.</w:t>
      </w:r>
      <w:r>
        <w:t xml:space="preserve"> </w:t>
      </w:r>
      <w:r>
        <w:t xml:space="preserve">EasyBuild User Meeting 2023.</w:t>
      </w:r>
      <w:r>
        <w:t xml:space="preserve"> </w:t>
      </w:r>
      <w:hyperlink r:id="rId22">
        <w:r>
          <w:rPr>
            <w:rStyle w:val="Hyperlink"/>
          </w:rPr>
          <w:t xml:space="preserve">https://easybuild.io/eum23/</w:t>
        </w:r>
      </w:hyperlink>
      <w:r>
        <w:t xml:space="preserve"> </w:t>
      </w:r>
      <w:r>
        <w:t xml:space="preserve">— the guiding principle, the distribution-version</w:t>
      </w:r>
      <w:r>
        <w:t xml:space="preserve"> </w:t>
      </w:r>
      <w:r>
        <w:t xml:space="preserve">comparison, and the Nix post-mortem.</w:t>
      </w:r>
    </w:p>
  </w:footnote>
  <w:footnote w:id="9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Dolstra, E., de Jonge, M., Visser, E. (2004).</w:t>
      </w:r>
      <w:r>
        <w:t xml:space="preserve"> </w:t>
      </w:r>
      <w:r>
        <w:rPr>
          <w:i/>
          <w:iCs/>
        </w:rPr>
        <w:t xml:space="preserve">Nix: A Safe and Policy-Free</w:t>
      </w:r>
      <w:r>
        <w:rPr>
          <w:i/>
          <w:iCs/>
        </w:rPr>
        <w:t xml:space="preserve"> </w:t>
      </w:r>
      <w:r>
        <w:rPr>
          <w:i/>
          <w:iCs/>
        </w:rPr>
        <w:t xml:space="preserve">System for Software Deployment.</w:t>
      </w:r>
      <w:r>
        <w:t xml:space="preserve"> </w:t>
      </w:r>
      <w:r>
        <w:t xml:space="preserve">Proc. LISA XVIII, USENIX. — what the store model</w:t>
      </w:r>
      <w:r>
        <w:t xml:space="preserve"> </w:t>
      </w:r>
      <w:r>
        <w:t xml:space="preserve">guarantees, which is what makes the leak described in section 8 legible.</w:t>
      </w:r>
    </w:p>
  </w:footnote>
  <w:footnote w:id="9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Oldeman, B. et al. (2025).</w:t>
      </w:r>
      <w:r>
        <w:t xml:space="preserve"> </w:t>
      </w:r>
      <w:r>
        <w:rPr>
          <w:i/>
          <w:iCs/>
        </w:rPr>
        <w:t xml:space="preserve">Digital Research Alliance of Canada site talk.</w:t>
      </w:r>
      <w:r>
        <w:t xml:space="preserve"> </w:t>
      </w:r>
      <w:r>
        <w:t xml:space="preserve">EasyBuild User Meeting 2025.</w:t>
      </w:r>
      <w:r>
        <w:t xml:space="preserve"> </w:t>
      </w:r>
      <w:hyperlink r:id="rId24">
        <w:r>
          <w:rPr>
            <w:rStyle w:val="Hyperlink"/>
          </w:rPr>
          <w:t xml:space="preserve">https://users.ugent.be/~kehoste/eum25/</w:t>
        </w:r>
      </w:hyperlink>
      <w:r>
        <w:t xml:space="preserve"> </w:t>
      </w:r>
      <w:r>
        <w:t xml:space="preserve">— the</w:t>
      </w:r>
      <w:r>
        <w:t xml:space="preserve"> </w:t>
      </w:r>
      <w:r>
        <w:t xml:space="preserve">current path layout, StdEnv/2023, the wheelhouse, the build cluster, the</w:t>
      </w:r>
      <w:r>
        <w:t xml:space="preserve"> </w:t>
      </w:r>
      <w:r>
        <w:t xml:space="preserve">promotion ladder, and the prefix-friction list.</w:t>
      </w:r>
    </w:p>
  </w:footnote>
  <w:footnote w:id="9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Geimer, M., Hoste, K., McLay, R. (2014).</w:t>
      </w:r>
      <w:r>
        <w:t xml:space="preserve"> </w:t>
      </w:r>
      <w:r>
        <w:rPr>
          <w:i/>
          <w:iCs/>
        </w:rPr>
        <w:t xml:space="preserve">Modern Scientific Software</w:t>
      </w:r>
      <w:r>
        <w:rPr>
          <w:i/>
          <w:iCs/>
        </w:rPr>
        <w:t xml:space="preserve"> </w:t>
      </w:r>
      <w:r>
        <w:rPr>
          <w:i/>
          <w:iCs/>
        </w:rPr>
        <w:t xml:space="preserve">Management Using EasyBuild and Lmod.</w:t>
      </w:r>
      <w:r>
        <w:t xml:space="preserve"> </w:t>
      </w:r>
      <w:r>
        <w:t xml:space="preserve">Proc. HUST’14, IEEE, 41-51.</w:t>
      </w:r>
      <w:r>
        <w:t xml:space="preserve"> </w:t>
      </w:r>
      <w:hyperlink r:id="rId99">
        <w:r>
          <w:rPr>
            <w:rStyle w:val="Hyperlink"/>
          </w:rPr>
          <w:t xml:space="preserve">https://doi.org/10.1109/HUST.2014.8</w:t>
        </w:r>
      </w:hyperlink>
      <w:r>
        <w:t xml:space="preserve"> </w:t>
      </w:r>
      <w:r>
        <w:t xml:space="preserve">— why the two are always named together.</w:t>
      </w:r>
    </w:p>
  </w:footnote>
  <w:footnote w:id="10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EasyBuild community.</w:t>
      </w:r>
      <w:r>
        <w:t xml:space="preserve"> </w:t>
      </w:r>
      <w:r>
        <w:rPr>
          <w:i/>
          <w:iCs/>
        </w:rPr>
        <w:t xml:space="preserve">EasyBuild documentation.</w:t>
      </w:r>
      <w:r>
        <w:t xml:space="preserve"> </w:t>
      </w:r>
      <w:hyperlink r:id="rId101">
        <w:r>
          <w:rPr>
            <w:rStyle w:val="Hyperlink"/>
          </w:rPr>
          <w:t xml:space="preserve">https://docs.easybuild.io</w:t>
        </w:r>
      </w:hyperlink>
      <w:r>
        <w:t xml:space="preserve"> </w:t>
      </w:r>
      <w:r>
        <w:t xml:space="preserve">— easyconfigs, easyblocks, toolchains and the easyconfig archive.</w:t>
      </w:r>
    </w:p>
  </w:footnote>
  <w:footnote w:id="10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TACC.</w:t>
      </w:r>
      <w:r>
        <w:t xml:space="preserve"> </w:t>
      </w:r>
      <w:r>
        <w:rPr>
          <w:i/>
          <w:iCs/>
        </w:rPr>
        <w:t xml:space="preserve">Lmod documentation.</w:t>
      </w:r>
      <w:r>
        <w:t xml:space="preserve"> </w:t>
      </w:r>
      <w:hyperlink r:id="rId103">
        <w:r>
          <w:rPr>
            <w:rStyle w:val="Hyperlink"/>
          </w:rPr>
          <w:t xml:space="preserve">https://lmod.readthedocs.io</w:t>
        </w:r>
      </w:hyperlink>
      <w:r>
        <w:t xml:space="preserve"> </w:t>
      </w:r>
      <w:r>
        <w:t xml:space="preserve">— the</w:t>
      </w:r>
      <w:r>
        <w:t xml:space="preserve"> </w:t>
      </w:r>
      <w:r>
        <w:t xml:space="preserve">hierarchy, MODULEPATH manipulation, and spider versus avail.</w:t>
      </w:r>
    </w:p>
  </w:footnote>
  <w:footnote w:id="10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Furlani, J. L. (1991).</w:t>
      </w:r>
      <w:r>
        <w:t xml:space="preserve"> </w:t>
      </w:r>
      <w:r>
        <w:rPr>
          <w:i/>
          <w:iCs/>
        </w:rPr>
        <w:t xml:space="preserve">Modules: Providing a Flexible User Environment.</w:t>
      </w:r>
      <w:r>
        <w:t xml:space="preserve"> </w:t>
      </w:r>
      <w:r>
        <w:t xml:space="preserve">Proc. LISA V, USENIX, 141-152. — the original environment-modules concept the</w:t>
      </w:r>
      <w:r>
        <w:t xml:space="preserve"> </w:t>
      </w:r>
      <w:r>
        <w:t xml:space="preserve">whole selection layer still rests on.</w:t>
      </w:r>
    </w:p>
  </w:footnote>
  <w:footnote w:id="10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McLay, R., Schulz, K. W., Barth, W. L., Minyard, T. (2011).</w:t>
      </w:r>
      <w:r>
        <w:t xml:space="preserve"> </w:t>
      </w:r>
      <w:r>
        <w:rPr>
          <w:i/>
          <w:iCs/>
        </w:rPr>
        <w:t xml:space="preserve">Best Practices</w:t>
      </w:r>
      <w:r>
        <w:rPr>
          <w:i/>
          <w:iCs/>
        </w:rPr>
        <w:t xml:space="preserve"> </w:t>
      </w:r>
      <w:r>
        <w:rPr>
          <w:i/>
          <w:iCs/>
        </w:rPr>
        <w:t xml:space="preserve">for the Deployment and Management of Production HPC Clusters.</w:t>
      </w:r>
      <w:r>
        <w:t xml:space="preserve"> </w:t>
      </w:r>
      <w:r>
        <w:t xml:space="preserve">SC’11, ACM.</w:t>
      </w:r>
      <w:r>
        <w:t xml:space="preserve"> </w:t>
      </w:r>
      <w:hyperlink r:id="rId106">
        <w:r>
          <w:rPr>
            <w:rStyle w:val="Hyperlink"/>
          </w:rPr>
          <w:t xml:space="preserve">https://doi.org/10.1145/2063348.2063360</w:t>
        </w:r>
      </w:hyperlink>
      <w:r>
        <w:t xml:space="preserve"> </w:t>
      </w:r>
      <w:r>
        <w:t xml:space="preserve">— the origin of Lmod.</w:t>
      </w:r>
    </w:p>
  </w:footnote>
  <w:footnote w:id="11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Boissonneault, M., Oldeman, B., Taylor, R. (2019).</w:t>
      </w:r>
      <w:r>
        <w:t xml:space="preserve"> </w:t>
      </w:r>
      <w:r>
        <w:rPr>
          <w:i/>
          <w:iCs/>
        </w:rPr>
        <w:t xml:space="preserve">Providing a Unified</w:t>
      </w:r>
      <w:r>
        <w:rPr>
          <w:i/>
          <w:iCs/>
        </w:rPr>
        <w:t xml:space="preserve"> </w:t>
      </w:r>
      <w:r>
        <w:rPr>
          <w:i/>
          <w:iCs/>
        </w:rPr>
        <w:t xml:space="preserve">Software Environment for Canada’s National Advanced Computing Centers.</w:t>
      </w:r>
      <w:r>
        <w:t xml:space="preserve"> </w:t>
      </w:r>
      <w:r>
        <w:t xml:space="preserve">PEARC’19.</w:t>
      </w:r>
      <w:r>
        <w:t xml:space="preserve"> </w:t>
      </w:r>
      <w:hyperlink r:id="rId30">
        <w:r>
          <w:rPr>
            <w:rStyle w:val="Hyperlink"/>
          </w:rPr>
          <w:t xml:space="preserve">https://doi.org/10.1145/3332186.3332210</w:t>
        </w:r>
      </w:hyperlink>
      <w:r>
        <w:t xml:space="preserve"> </w:t>
      </w:r>
      <w:r>
        <w:t xml:space="preserve">— the peer-reviewed statement of the</w:t>
      </w:r>
      <w:r>
        <w:t xml:space="preserve"> </w:t>
      </w:r>
      <w:r>
        <w:t xml:space="preserve">whole model. If you read one thing on this list, read this.</w:t>
      </w:r>
    </w:p>
  </w:footnote>
  <w:footnote w:id="11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Oldeman, B. et al. (2025).</w:t>
      </w:r>
      <w:r>
        <w:t xml:space="preserve"> </w:t>
      </w:r>
      <w:r>
        <w:rPr>
          <w:i/>
          <w:iCs/>
        </w:rPr>
        <w:t xml:space="preserve">Digital Research Alliance of Canada site talk.</w:t>
      </w:r>
      <w:r>
        <w:t xml:space="preserve"> </w:t>
      </w:r>
      <w:r>
        <w:t xml:space="preserve">EasyBuild User Meeting 2025.</w:t>
      </w:r>
      <w:r>
        <w:t xml:space="preserve"> </w:t>
      </w:r>
      <w:hyperlink r:id="rId24">
        <w:r>
          <w:rPr>
            <w:rStyle w:val="Hyperlink"/>
          </w:rPr>
          <w:t xml:space="preserve">https://users.ugent.be/~kehoste/eum25/</w:t>
        </w:r>
      </w:hyperlink>
      <w:r>
        <w:t xml:space="preserve"> </w:t>
      </w:r>
      <w:r>
        <w:t xml:space="preserve">— the</w:t>
      </w:r>
      <w:r>
        <w:t xml:space="preserve"> </w:t>
      </w:r>
      <w:r>
        <w:t xml:space="preserve">current path layout, StdEnv/2023, the wheelhouse, the build cluster, the</w:t>
      </w:r>
      <w:r>
        <w:t xml:space="preserve"> </w:t>
      </w:r>
      <w:r>
        <w:t xml:space="preserve">promotion ladder, and the prefix-friction list.</w:t>
      </w:r>
    </w:p>
  </w:footnote>
  <w:footnote w:id="11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Gamblin, T. et al. (2015).</w:t>
      </w:r>
      <w:r>
        <w:t xml:space="preserve"> </w:t>
      </w:r>
      <w:r>
        <w:rPr>
          <w:i/>
          <w:iCs/>
        </w:rPr>
        <w:t xml:space="preserve">The Spack Package Manager: Bringing Order to</w:t>
      </w:r>
      <w:r>
        <w:rPr>
          <w:i/>
          <w:iCs/>
        </w:rPr>
        <w:t xml:space="preserve"> </w:t>
      </w:r>
      <w:r>
        <w:rPr>
          <w:i/>
          <w:iCs/>
        </w:rPr>
        <w:t xml:space="preserve">HPC Software Chaos.</w:t>
      </w:r>
      <w:r>
        <w:t xml:space="preserve"> </w:t>
      </w:r>
      <w:r>
        <w:t xml:space="preserve">Proc. SC’15, ACM.</w:t>
      </w:r>
      <w:r>
        <w:t xml:space="preserve"> </w:t>
      </w:r>
      <w:hyperlink r:id="rId116">
        <w:r>
          <w:rPr>
            <w:rStyle w:val="Hyperlink"/>
          </w:rPr>
          <w:t xml:space="preserve">https://doi.org/10.1145/2807591.2807623</w:t>
        </w:r>
      </w:hyperlink>
      <w:r>
        <w:t xml:space="preserve"> </w:t>
      </w:r>
      <w:r>
        <w:t xml:space="preserve">— same problem, different answer, and a real one.</w:t>
      </w:r>
    </w:p>
  </w:footnote>
  <w:footnote w:id="11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Boissonneault, M., Oldeman, B., Taylor, R. (2019).</w:t>
      </w:r>
      <w:r>
        <w:t xml:space="preserve"> </w:t>
      </w:r>
      <w:r>
        <w:rPr>
          <w:i/>
          <w:iCs/>
        </w:rPr>
        <w:t xml:space="preserve">Providing a Unified</w:t>
      </w:r>
      <w:r>
        <w:rPr>
          <w:i/>
          <w:iCs/>
        </w:rPr>
        <w:t xml:space="preserve"> </w:t>
      </w:r>
      <w:r>
        <w:rPr>
          <w:i/>
          <w:iCs/>
        </w:rPr>
        <w:t xml:space="preserve">Software Environment for Canada’s National Advanced Computing Centers.</w:t>
      </w:r>
      <w:r>
        <w:t xml:space="preserve"> </w:t>
      </w:r>
      <w:r>
        <w:t xml:space="preserve">PEARC’19.</w:t>
      </w:r>
      <w:r>
        <w:t xml:space="preserve"> </w:t>
      </w:r>
      <w:hyperlink r:id="rId30">
        <w:r>
          <w:rPr>
            <w:rStyle w:val="Hyperlink"/>
          </w:rPr>
          <w:t xml:space="preserve">https://doi.org/10.1145/3332186.3332210</w:t>
        </w:r>
      </w:hyperlink>
      <w:r>
        <w:t xml:space="preserve"> </w:t>
      </w:r>
      <w:r>
        <w:t xml:space="preserve">— the peer-reviewed statement of the</w:t>
      </w:r>
      <w:r>
        <w:t xml:space="preserve"> </w:t>
      </w:r>
      <w:r>
        <w:t xml:space="preserve">whole model. If you read one thing on this list, read this.</w:t>
      </w:r>
    </w:p>
  </w:footnote>
  <w:footnote w:id="11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Oldeman, B. et al. (2025).</w:t>
      </w:r>
      <w:r>
        <w:t xml:space="preserve"> </w:t>
      </w:r>
      <w:r>
        <w:rPr>
          <w:i/>
          <w:iCs/>
        </w:rPr>
        <w:t xml:space="preserve">Digital Research Alliance of Canada site talk.</w:t>
      </w:r>
      <w:r>
        <w:t xml:space="preserve"> </w:t>
      </w:r>
      <w:r>
        <w:t xml:space="preserve">EasyBuild User Meeting 2025.</w:t>
      </w:r>
      <w:r>
        <w:t xml:space="preserve"> </w:t>
      </w:r>
      <w:hyperlink r:id="rId24">
        <w:r>
          <w:rPr>
            <w:rStyle w:val="Hyperlink"/>
          </w:rPr>
          <w:t xml:space="preserve">https://users.ugent.be/~kehoste/eum25/</w:t>
        </w:r>
      </w:hyperlink>
      <w:r>
        <w:t xml:space="preserve"> </w:t>
      </w:r>
      <w:r>
        <w:t xml:space="preserve">— the</w:t>
      </w:r>
      <w:r>
        <w:t xml:space="preserve"> </w:t>
      </w:r>
      <w:r>
        <w:t xml:space="preserve">current path layout, StdEnv/2023, the wheelhouse, the build cluster, the</w:t>
      </w:r>
      <w:r>
        <w:t xml:space="preserve"> </w:t>
      </w:r>
      <w:r>
        <w:t xml:space="preserve">promotion ladder, and the prefix-friction list.</w:t>
      </w:r>
    </w:p>
  </w:footnote>
  <w:footnote w:id="1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Digital Research Alliance of Canada.</w:t>
      </w:r>
      <w:r>
        <w:t xml:space="preserve"> </w:t>
      </w:r>
      <w:r>
        <w:rPr>
          <w:i/>
          <w:iCs/>
        </w:rPr>
        <w:t xml:space="preserve">Technical documentation: Accessing</w:t>
      </w:r>
      <w:r>
        <w:rPr>
          <w:i/>
          <w:iCs/>
        </w:rPr>
        <w:t xml:space="preserve"> </w:t>
      </w:r>
      <w:r>
        <w:rPr>
          <w:i/>
          <w:iCs/>
        </w:rPr>
        <w:t xml:space="preserve">CVMFS, Standard software environments, Using modules.</w:t>
      </w:r>
      <w:r>
        <w:t xml:space="preserve"> </w:t>
      </w:r>
      <w:hyperlink r:id="rId121">
        <w:r>
          <w:rPr>
            <w:rStyle w:val="Hyperlink"/>
          </w:rPr>
          <w:t xml:space="preserve">https://docs.alliancecan.ca</w:t>
        </w:r>
      </w:hyperlink>
      <w:r>
        <w:t xml:space="preserve"> </w:t>
      </w:r>
      <w:r>
        <w:t xml:space="preserve">— the StdEnv lineage and the site variables, described from the user’s end.</w:t>
      </w:r>
    </w:p>
  </w:footnote>
  <w:footnote w:id="12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Oldeman, B. et al. (2025).</w:t>
      </w:r>
      <w:r>
        <w:t xml:space="preserve"> </w:t>
      </w:r>
      <w:r>
        <w:rPr>
          <w:i/>
          <w:iCs/>
        </w:rPr>
        <w:t xml:space="preserve">Digital Research Alliance of Canada site talk.</w:t>
      </w:r>
      <w:r>
        <w:t xml:space="preserve"> </w:t>
      </w:r>
      <w:r>
        <w:t xml:space="preserve">EasyBuild User Meeting 2025.</w:t>
      </w:r>
      <w:r>
        <w:t xml:space="preserve"> </w:t>
      </w:r>
      <w:hyperlink r:id="rId24">
        <w:r>
          <w:rPr>
            <w:rStyle w:val="Hyperlink"/>
          </w:rPr>
          <w:t xml:space="preserve">https://users.ugent.be/~kehoste/eum25/</w:t>
        </w:r>
      </w:hyperlink>
      <w:r>
        <w:t xml:space="preserve"> </w:t>
      </w:r>
      <w:r>
        <w:t xml:space="preserve">— the</w:t>
      </w:r>
      <w:r>
        <w:t xml:space="preserve"> </w:t>
      </w:r>
      <w:r>
        <w:t xml:space="preserve">current path layout, StdEnv/2023, the wheelhouse, the build cluster, the</w:t>
      </w:r>
      <w:r>
        <w:t xml:space="preserve"> </w:t>
      </w:r>
      <w:r>
        <w:t xml:space="preserve">promotion ladder, and the prefix-friction list.</w:t>
      </w:r>
    </w:p>
  </w:footnote>
  <w:footnote w:id="12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Digital Research Alliance of Canada.</w:t>
      </w:r>
      <w:r>
        <w:t xml:space="preserve"> </w:t>
      </w:r>
      <w:r>
        <w:rPr>
          <w:i/>
          <w:iCs/>
        </w:rPr>
        <w:t xml:space="preserve">Technical documentation: Accessing</w:t>
      </w:r>
      <w:r>
        <w:rPr>
          <w:i/>
          <w:iCs/>
        </w:rPr>
        <w:t xml:space="preserve"> </w:t>
      </w:r>
      <w:r>
        <w:rPr>
          <w:i/>
          <w:iCs/>
        </w:rPr>
        <w:t xml:space="preserve">CVMFS, Standard software environments, Using modules.</w:t>
      </w:r>
      <w:r>
        <w:t xml:space="preserve"> </w:t>
      </w:r>
      <w:hyperlink r:id="rId121">
        <w:r>
          <w:rPr>
            <w:rStyle w:val="Hyperlink"/>
          </w:rPr>
          <w:t xml:space="preserve">https://docs.alliancecan.ca</w:t>
        </w:r>
      </w:hyperlink>
      <w:r>
        <w:t xml:space="preserve"> </w:t>
      </w:r>
      <w:r>
        <w:t xml:space="preserve">— the StdEnv lineage and the site variables, described from the user’s end.</w:t>
      </w:r>
    </w:p>
  </w:footnote>
  <w:footnote w:id="12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Oldeman, B. et al. (2025).</w:t>
      </w:r>
      <w:r>
        <w:t xml:space="preserve"> </w:t>
      </w:r>
      <w:r>
        <w:rPr>
          <w:i/>
          <w:iCs/>
        </w:rPr>
        <w:t xml:space="preserve">Digital Research Alliance of Canada site talk.</w:t>
      </w:r>
      <w:r>
        <w:t xml:space="preserve"> </w:t>
      </w:r>
      <w:r>
        <w:t xml:space="preserve">EasyBuild User Meeting 2025.</w:t>
      </w:r>
      <w:r>
        <w:t xml:space="preserve"> </w:t>
      </w:r>
      <w:hyperlink r:id="rId24">
        <w:r>
          <w:rPr>
            <w:rStyle w:val="Hyperlink"/>
          </w:rPr>
          <w:t xml:space="preserve">https://users.ugent.be/~kehoste/eum25/</w:t>
        </w:r>
      </w:hyperlink>
      <w:r>
        <w:t xml:space="preserve"> </w:t>
      </w:r>
      <w:r>
        <w:t xml:space="preserve">— the</w:t>
      </w:r>
      <w:r>
        <w:t xml:space="preserve"> </w:t>
      </w:r>
      <w:r>
        <w:t xml:space="preserve">current path layout, StdEnv/2023, the wheelhouse, the build cluster, the</w:t>
      </w:r>
      <w:r>
        <w:t xml:space="preserve"> </w:t>
      </w:r>
      <w:r>
        <w:t xml:space="preserve">promotion ladder, and the prefix-friction list.</w:t>
      </w:r>
    </w:p>
  </w:footnote>
  <w:footnote w:id="13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Dröge, B., Holanda Rusu, V., Hoste, K. et al. (2023).</w:t>
      </w:r>
      <w:r>
        <w:t xml:space="preserve"> </w:t>
      </w:r>
      <w:r>
        <w:rPr>
          <w:i/>
          <w:iCs/>
        </w:rPr>
        <w:t xml:space="preserve">EESSI: A</w:t>
      </w:r>
      <w:r>
        <w:rPr>
          <w:i/>
          <w:iCs/>
        </w:rPr>
        <w:t xml:space="preserve"> </w:t>
      </w:r>
      <w:r>
        <w:rPr>
          <w:i/>
          <w:iCs/>
        </w:rPr>
        <w:t xml:space="preserve">cross-platform ready-to-use optimised scientific software stack.</w:t>
      </w:r>
      <w:r>
        <w:t xml:space="preserve"> </w:t>
      </w:r>
      <w:r>
        <w:t xml:space="preserve">Software:</w:t>
      </w:r>
      <w:r>
        <w:t xml:space="preserve"> </w:t>
      </w:r>
      <w:r>
        <w:t xml:space="preserve">Practice and Experience 53(1), 176-210.</w:t>
      </w:r>
      <w:r>
        <w:t xml:space="preserve"> </w:t>
      </w:r>
      <w:hyperlink r:id="rId70">
        <w:r>
          <w:rPr>
            <w:rStyle w:val="Hyperlink"/>
          </w:rPr>
          <w:t xml:space="preserve">https://doi.org/10.1002/spe.3075</w:t>
        </w:r>
      </w:hyperlink>
      <w:r>
        <w:t xml:space="preserve"> </w:t>
      </w:r>
      <w:r>
        <w:t xml:space="preserve">— the</w:t>
      </w:r>
      <w:r>
        <w:t xml:space="preserve"> </w:t>
      </w:r>
      <w:r>
        <w:t xml:space="preserve">full architectural argument with the performance evaluation attached.</w:t>
      </w:r>
    </w:p>
  </w:footnote>
  <w:footnote w:id="13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EESSI.</w:t>
      </w:r>
      <w:r>
        <w:t xml:space="preserve"> </w:t>
      </w:r>
      <w:r>
        <w:rPr>
          <w:i/>
          <w:iCs/>
        </w:rPr>
        <w:t xml:space="preserve">Project documentation.</w:t>
      </w:r>
      <w:r>
        <w:t xml:space="preserve"> </w:t>
      </w:r>
      <w:hyperlink r:id="rId72">
        <w:r>
          <w:rPr>
            <w:rStyle w:val="Hyperlink"/>
          </w:rPr>
          <w:t xml:space="preserve">https://www.eessi.io/docs/</w:t>
        </w:r>
      </w:hyperlink>
      <w:r>
        <w:t xml:space="preserve"> </w:t>
      </w:r>
      <w:r>
        <w:t xml:space="preserve">— paths,</w:t>
      </w:r>
      <w:r>
        <w:t xml:space="preserve"> </w:t>
      </w:r>
      <w:r>
        <w:t xml:space="preserve">versions, CPU targets, host injections, GPU support and the test suite.</w:t>
      </w:r>
    </w:p>
  </w:footnote>
  <w:footnote w:id="13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O’Cais, A., Vela, H. (2025).</w:t>
      </w:r>
      <w:r>
        <w:t xml:space="preserve"> </w:t>
      </w:r>
      <w:r>
        <w:rPr>
          <w:i/>
          <w:iCs/>
        </w:rPr>
        <w:t xml:space="preserve">EESSI layer decomposition.</w:t>
      </w:r>
      <w:r>
        <w:t xml:space="preserve"> </w:t>
      </w:r>
      <w:r>
        <w:t xml:space="preserve">HPCKP 2025.</w:t>
      </w:r>
      <w:r>
        <w:t xml:space="preserve"> </w:t>
      </w:r>
      <w:hyperlink r:id="rId74">
        <w:r>
          <w:rPr>
            <w:rStyle w:val="Hyperlink"/>
          </w:rPr>
          <w:t xml:space="preserve">https://www.hpckp.org/</w:t>
        </w:r>
      </w:hyperlink>
      <w:r>
        <w:t xml:space="preserve"> </w:t>
      </w:r>
      <w:r>
        <w:t xml:space="preserve">— a compact statement of the four-layer decomposition.</w:t>
      </w:r>
    </w:p>
  </w:footnote>
  <w:footnote w:id="13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Archspec contributors.</w:t>
      </w:r>
      <w:r>
        <w:t xml:space="preserve"> </w:t>
      </w:r>
      <w:r>
        <w:rPr>
          <w:i/>
          <w:iCs/>
        </w:rPr>
        <w:t xml:space="preserve">archspec.</w:t>
      </w:r>
      <w:r>
        <w:t xml:space="preserve"> </w:t>
      </w:r>
      <w:hyperlink r:id="rId135">
        <w:r>
          <w:rPr>
            <w:rStyle w:val="Hyperlink"/>
          </w:rPr>
          <w:t xml:space="preserve">https://github.com/archspec/archspec</w:t>
        </w:r>
      </w:hyperlink>
      <w:r>
        <w:t xml:space="preserve"> </w:t>
      </w:r>
      <w:r>
        <w:t xml:space="preserve">— microarchitecture detection driving the subdirectory choice.</w:t>
      </w:r>
    </w:p>
  </w:footnote>
  <w:footnote w:id="13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EESSI.</w:t>
      </w:r>
      <w:r>
        <w:t xml:space="preserve"> </w:t>
      </w:r>
      <w:r>
        <w:rPr>
          <w:i/>
          <w:iCs/>
        </w:rPr>
        <w:t xml:space="preserve">Project documentation.</w:t>
      </w:r>
      <w:r>
        <w:t xml:space="preserve"> </w:t>
      </w:r>
      <w:hyperlink r:id="rId72">
        <w:r>
          <w:rPr>
            <w:rStyle w:val="Hyperlink"/>
          </w:rPr>
          <w:t xml:space="preserve">https://www.eessi.io/docs/</w:t>
        </w:r>
      </w:hyperlink>
      <w:r>
        <w:t xml:space="preserve"> </w:t>
      </w:r>
      <w:r>
        <w:t xml:space="preserve">— paths,</w:t>
      </w:r>
      <w:r>
        <w:t xml:space="preserve"> </w:t>
      </w:r>
      <w:r>
        <w:t xml:space="preserve">versions, CPU targets, host injections, GPU support and the test suite.</w:t>
      </w:r>
    </w:p>
  </w:footnote>
  <w:footnote w:id="13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Karakasis, V. et al. </w:t>
      </w:r>
      <w:r>
        <w:rPr>
          <w:i/>
          <w:iCs/>
        </w:rPr>
        <w:t xml:space="preserve">ReFrame.</w:t>
      </w:r>
      <w:r>
        <w:t xml:space="preserve"> </w:t>
      </w:r>
      <w:hyperlink r:id="rId138">
        <w:r>
          <w:rPr>
            <w:rStyle w:val="Hyperlink"/>
          </w:rPr>
          <w:t xml:space="preserve">https://reframe-hpc.readthedocs.io</w:t>
        </w:r>
      </w:hyperlink>
      <w:r>
        <w:t xml:space="preserve"> </w:t>
      </w:r>
      <w:r>
        <w:t xml:space="preserve">— the</w:t>
      </w:r>
      <w:r>
        <w:t xml:space="preserve"> </w:t>
      </w:r>
      <w:r>
        <w:t xml:space="preserve">validation framework behind the EESSI test suite.</w:t>
      </w:r>
    </w:p>
  </w:footnote>
  <w:footnote w:id="14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EESSI.</w:t>
      </w:r>
      <w:r>
        <w:t xml:space="preserve"> </w:t>
      </w:r>
      <w:r>
        <w:rPr>
          <w:i/>
          <w:iCs/>
        </w:rPr>
        <w:t xml:space="preserve">Project documentation.</w:t>
      </w:r>
      <w:r>
        <w:t xml:space="preserve"> </w:t>
      </w:r>
      <w:hyperlink r:id="rId72">
        <w:r>
          <w:rPr>
            <w:rStyle w:val="Hyperlink"/>
          </w:rPr>
          <w:t xml:space="preserve">https://www.eessi.io/docs/</w:t>
        </w:r>
      </w:hyperlink>
      <w:r>
        <w:t xml:space="preserve"> </w:t>
      </w:r>
      <w:r>
        <w:t xml:space="preserve">— paths,</w:t>
      </w:r>
      <w:r>
        <w:t xml:space="preserve"> </w:t>
      </w:r>
      <w:r>
        <w:t xml:space="preserve">versions, CPU targets, host injections, GPU support and the test suite.</w:t>
      </w:r>
    </w:p>
  </w:footnote>
  <w:footnote w:id="14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Oldeman, B. et al. (2025).</w:t>
      </w:r>
      <w:r>
        <w:t xml:space="preserve"> </w:t>
      </w:r>
      <w:r>
        <w:rPr>
          <w:i/>
          <w:iCs/>
        </w:rPr>
        <w:t xml:space="preserve">Digital Research Alliance of Canada site talk.</w:t>
      </w:r>
      <w:r>
        <w:t xml:space="preserve"> </w:t>
      </w:r>
      <w:r>
        <w:t xml:space="preserve">EasyBuild User Meeting 2025.</w:t>
      </w:r>
      <w:r>
        <w:t xml:space="preserve"> </w:t>
      </w:r>
      <w:hyperlink r:id="rId24">
        <w:r>
          <w:rPr>
            <w:rStyle w:val="Hyperlink"/>
          </w:rPr>
          <w:t xml:space="preserve">https://users.ugent.be/~kehoste/eum25/</w:t>
        </w:r>
      </w:hyperlink>
      <w:r>
        <w:t xml:space="preserve"> </w:t>
      </w:r>
      <w:r>
        <w:t xml:space="preserve">— the</w:t>
      </w:r>
      <w:r>
        <w:t xml:space="preserve"> </w:t>
      </w:r>
      <w:r>
        <w:t xml:space="preserve">current path layout, StdEnv/2023, the wheelhouse, the build cluster, the</w:t>
      </w:r>
      <w:r>
        <w:t xml:space="preserve"> </w:t>
      </w:r>
      <w:r>
        <w:t xml:space="preserve">promotion ladder, and the prefix-friction list.</w:t>
      </w:r>
    </w:p>
  </w:footnote>
  <w:footnote w:id="14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CernVM-FS project.</w:t>
      </w:r>
      <w:r>
        <w:t xml:space="preserve"> </w:t>
      </w:r>
      <w:r>
        <w:rPr>
          <w:i/>
          <w:iCs/>
        </w:rPr>
        <w:t xml:space="preserve">CernVM-FS documentation.</w:t>
      </w:r>
      <w:r>
        <w:t xml:space="preserve"> </w:t>
      </w:r>
      <w:hyperlink r:id="rId37">
        <w:r>
          <w:rPr>
            <w:rStyle w:val="Hyperlink"/>
          </w:rPr>
          <w:t xml:space="preserve">https://cvmfs.readthedocs.io</w:t>
        </w:r>
      </w:hyperlink>
      <w:r>
        <w:t xml:space="preserve"> </w:t>
      </w:r>
      <w:r>
        <w:t xml:space="preserve">— manifest fields, catalog structure, cache behaviour, publishing transactions,</w:t>
      </w:r>
      <w:r>
        <w:t xml:space="preserve"> </w:t>
      </w:r>
      <w:r>
        <w:t xml:space="preserve">garbage collection and DUCC. The</w:t>
      </w:r>
      <w:r>
        <w:t xml:space="preserve"> </w:t>
      </w:r>
      <w:r>
        <w:rPr>
          <w:rStyle w:val="VerbatimChar"/>
        </w:rPr>
        <w:t xml:space="preserve">cpt-details</w:t>
      </w:r>
      <w:r>
        <w:t xml:space="preserve"> </w:t>
      </w:r>
      <w:r>
        <w:t xml:space="preserve">chapter is the one to read.</w:t>
      </w:r>
    </w:p>
  </w:footnote>
  <w:footnote w:id="15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Völkl, V., Christodoulis, G., Blomer, J., with Hoste, K. et al. (2026).</w:t>
      </w:r>
      <w:r>
        <w:t xml:space="preserve"> </w:t>
      </w:r>
      <w:r>
        <w:rPr>
          <w:i/>
          <w:iCs/>
        </w:rPr>
        <w:t xml:space="preserve">Introduction to CernVM-FS.</w:t>
      </w:r>
      <w:r>
        <w:t xml:space="preserve"> </w:t>
      </w:r>
      <w:r>
        <w:t xml:space="preserve">EESSI webinar, 18 May 2026.</w:t>
      </w:r>
      <w:r>
        <w:t xml:space="preserve"> </w:t>
      </w:r>
      <w:hyperlink r:id="rId35">
        <w:r>
          <w:rPr>
            <w:rStyle w:val="Hyperlink"/>
          </w:rPr>
          <w:t xml:space="preserve">https://www.eessi.io/docs/training-events/</w:t>
        </w:r>
      </w:hyperlink>
      <w:r>
        <w:t xml:space="preserve"> </w:t>
      </w:r>
      <w:r>
        <w:t xml:space="preserve">— current scale figures, the</w:t>
      </w:r>
      <w:r>
        <w:t xml:space="preserve"> </w:t>
      </w:r>
      <w:r>
        <w:t xml:space="preserve">software start-up measurements, and the error-message decoding.</w:t>
      </w:r>
    </w:p>
  </w:footnote>
  <w:footnote w:id="15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MultiXscale / EESSI.</w:t>
      </w:r>
      <w:r>
        <w:t xml:space="preserve"> </w:t>
      </w:r>
      <w:r>
        <w:rPr>
          <w:i/>
          <w:iCs/>
        </w:rPr>
        <w:t xml:space="preserve">Best Practices for CernVM-FS in HPC.</w:t>
      </w:r>
      <w:r>
        <w:t xml:space="preserve"> </w:t>
      </w:r>
      <w:hyperlink r:id="rId44">
        <w:r>
          <w:rPr>
            <w:rStyle w:val="Hyperlink"/>
          </w:rPr>
          <w:t xml:space="preserve">https://multixscale.github.io/cvmfs-tutorial-hpc-best-practices/</w:t>
        </w:r>
      </w:hyperlink>
      <w:r>
        <w:t xml:space="preserve"> </w:t>
      </w:r>
      <w:r>
        <w:t xml:space="preserve">— proxy and</w:t>
      </w:r>
      <w:r>
        <w:t xml:space="preserve"> </w:t>
      </w:r>
      <w:r>
        <w:t xml:space="preserve">Stratum 1 sizing, diskless cache configuration, and which workarounds are no</w:t>
      </w:r>
      <w:r>
        <w:t xml:space="preserve"> </w:t>
      </w:r>
      <w:r>
        <w:t xml:space="preserve">longer recommended.</w:t>
      </w:r>
    </w:p>
  </w:footnote>
  <w:footnote w:id="15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Völkl, V., Christodoulis, G., Blomer, J., with Hoste, K. et al. (2026).</w:t>
      </w:r>
      <w:r>
        <w:t xml:space="preserve"> </w:t>
      </w:r>
      <w:r>
        <w:rPr>
          <w:i/>
          <w:iCs/>
        </w:rPr>
        <w:t xml:space="preserve">Introduction to CernVM-FS.</w:t>
      </w:r>
      <w:r>
        <w:t xml:space="preserve"> </w:t>
      </w:r>
      <w:r>
        <w:t xml:space="preserve">EESSI webinar, 18 May 2026.</w:t>
      </w:r>
      <w:r>
        <w:t xml:space="preserve"> </w:t>
      </w:r>
      <w:hyperlink r:id="rId35">
        <w:r>
          <w:rPr>
            <w:rStyle w:val="Hyperlink"/>
          </w:rPr>
          <w:t xml:space="preserve">https://www.eessi.io/docs/training-events/</w:t>
        </w:r>
      </w:hyperlink>
      <w:r>
        <w:t xml:space="preserve"> </w:t>
      </w:r>
      <w:r>
        <w:t xml:space="preserve">— current scale figures, the</w:t>
      </w:r>
      <w:r>
        <w:t xml:space="preserve"> </w:t>
      </w:r>
      <w:r>
        <w:t xml:space="preserve">software start-up measurements, and the error-message decoding.</w:t>
      </w:r>
    </w:p>
  </w:footnote>
  <w:footnote w:id="15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Dykstra, D.</w:t>
      </w:r>
      <w:r>
        <w:t xml:space="preserve"> </w:t>
      </w:r>
      <w:r>
        <w:rPr>
          <w:i/>
          <w:iCs/>
        </w:rPr>
        <w:t xml:space="preserve">cvmfsexec.</w:t>
      </w:r>
      <w:r>
        <w:t xml:space="preserve"> </w:t>
      </w:r>
      <w:hyperlink r:id="rId156">
        <w:r>
          <w:rPr>
            <w:rStyle w:val="Hyperlink"/>
          </w:rPr>
          <w:t xml:space="preserve">https://github.com/cvmfs/cvmfsexec</w:t>
        </w:r>
      </w:hyperlink>
      <w:r>
        <w:t xml:space="preserve"> </w:t>
      </w:r>
      <w:r>
        <w:t xml:space="preserve">—</w:t>
      </w:r>
      <w:r>
        <w:t xml:space="preserve"> </w:t>
      </w:r>
      <w:r>
        <w:t xml:space="preserve">unprivileged mounting, with its four modes and their trade-offs.</w:t>
      </w:r>
    </w:p>
  </w:footnote>
  <w:footnote w:id="15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Völkl, V., Christodoulis, G., Blomer, J., with Hoste, K. et al. (2026).</w:t>
      </w:r>
      <w:r>
        <w:t xml:space="preserve"> </w:t>
      </w:r>
      <w:r>
        <w:rPr>
          <w:i/>
          <w:iCs/>
        </w:rPr>
        <w:t xml:space="preserve">Introduction to CernVM-FS.</w:t>
      </w:r>
      <w:r>
        <w:t xml:space="preserve"> </w:t>
      </w:r>
      <w:r>
        <w:t xml:space="preserve">EESSI webinar, 18 May 2026.</w:t>
      </w:r>
      <w:r>
        <w:t xml:space="preserve"> </w:t>
      </w:r>
      <w:hyperlink r:id="rId35">
        <w:r>
          <w:rPr>
            <w:rStyle w:val="Hyperlink"/>
          </w:rPr>
          <w:t xml:space="preserve">https://www.eessi.io/docs/training-events/</w:t>
        </w:r>
      </w:hyperlink>
      <w:r>
        <w:t xml:space="preserve"> </w:t>
      </w:r>
      <w:r>
        <w:t xml:space="preserve">— current scale figures, the</w:t>
      </w:r>
      <w:r>
        <w:t xml:space="preserve"> </w:t>
      </w:r>
      <w:r>
        <w:t xml:space="preserve">software start-up measurements, and the error-message decoding.</w:t>
      </w:r>
    </w:p>
  </w:footnote>
  <w:footnote w:id="15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MultiXscale / EESSI.</w:t>
      </w:r>
      <w:r>
        <w:t xml:space="preserve"> </w:t>
      </w:r>
      <w:r>
        <w:rPr>
          <w:i/>
          <w:iCs/>
        </w:rPr>
        <w:t xml:space="preserve">Best Practices for CernVM-FS in HPC.</w:t>
      </w:r>
      <w:r>
        <w:t xml:space="preserve"> </w:t>
      </w:r>
      <w:hyperlink r:id="rId44">
        <w:r>
          <w:rPr>
            <w:rStyle w:val="Hyperlink"/>
          </w:rPr>
          <w:t xml:space="preserve">https://multixscale.github.io/cvmfs-tutorial-hpc-best-practices/</w:t>
        </w:r>
      </w:hyperlink>
      <w:r>
        <w:t xml:space="preserve"> </w:t>
      </w:r>
      <w:r>
        <w:t xml:space="preserve">— proxy and</w:t>
      </w:r>
      <w:r>
        <w:t xml:space="preserve"> </w:t>
      </w:r>
      <w:r>
        <w:t xml:space="preserve">Stratum 1 sizing, diskless cache configuration, and which workarounds are no</w:t>
      </w:r>
      <w:r>
        <w:t xml:space="preserve"> </w:t>
      </w:r>
      <w:r>
        <w:t xml:space="preserve">longer recommended.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png" /><Relationship Type="http://schemas.openxmlformats.org/officeDocument/2006/relationships/image" Id="rId139" Target="media/rId139.png" /><Relationship Type="http://schemas.openxmlformats.org/officeDocument/2006/relationships/image" Id="rId143" Target="media/rId143.png" /><Relationship Type="http://schemas.openxmlformats.org/officeDocument/2006/relationships/image" Id="rId160" Target="media/rId160.png" /><Relationship Type="http://schemas.openxmlformats.org/officeDocument/2006/relationships/image" Id="rId47" Target="media/rId47.png" /><Relationship Type="http://schemas.openxmlformats.org/officeDocument/2006/relationships/image" Id="rId51" Target="media/rId51.png" /><Relationship Type="http://schemas.openxmlformats.org/officeDocument/2006/relationships/image" Id="rId65" Target="media/rId65.png" /><Relationship Type="http://schemas.openxmlformats.org/officeDocument/2006/relationships/image" Id="rId75" Target="media/rId75.png" /><Relationship Type="http://schemas.openxmlformats.org/officeDocument/2006/relationships/image" Id="rId86" Target="media/rId86.png" /><Relationship Type="http://schemas.openxmlformats.org/officeDocument/2006/relationships/image" Id="rId107" Target="media/rId107.png" /><Relationship Type="http://schemas.openxmlformats.org/officeDocument/2006/relationships/image" Id="rId110" Target="media/rId110.png" /><Relationship Type="http://schemas.openxmlformats.org/officeDocument/2006/relationships/image" Id="rId126" Target="media/rId126.png" /><Relationship Type="http://schemas.openxmlformats.org/officeDocument/2006/relationships/hyperlink" Id="rId79" Target="https://archive.fosdem.org/2018/" TargetMode="External" /><Relationship Type="http://schemas.openxmlformats.org/officeDocument/2006/relationships/hyperlink" Id="rId37" Target="https://cvmfs.readthedocs.io" TargetMode="External" /><Relationship Type="http://schemas.openxmlformats.org/officeDocument/2006/relationships/hyperlink" Id="rId121" Target="https://docs.alliancecan.ca" TargetMode="External" /><Relationship Type="http://schemas.openxmlformats.org/officeDocument/2006/relationships/hyperlink" Id="rId101" Target="https://docs.easybuild.io" TargetMode="External" /><Relationship Type="http://schemas.openxmlformats.org/officeDocument/2006/relationships/hyperlink" Id="rId70" Target="https://doi.org/10.1002/spe.3075" TargetMode="External" /><Relationship Type="http://schemas.openxmlformats.org/officeDocument/2006/relationships/hyperlink" Id="rId60" Target="https://doi.org/10.1051/epjconf/202429504012" TargetMode="External" /><Relationship Type="http://schemas.openxmlformats.org/officeDocument/2006/relationships/hyperlink" Id="rId99" Target="https://doi.org/10.1109/HUST.2014.8" TargetMode="External" /><Relationship Type="http://schemas.openxmlformats.org/officeDocument/2006/relationships/hyperlink" Id="rId106" Target="https://doi.org/10.1145/2063348.2063360" TargetMode="External" /><Relationship Type="http://schemas.openxmlformats.org/officeDocument/2006/relationships/hyperlink" Id="rId41" Target="https://doi.org/10.1145/2110217.2110225" TargetMode="External" /><Relationship Type="http://schemas.openxmlformats.org/officeDocument/2006/relationships/hyperlink" Id="rId116" Target="https://doi.org/10.1145/2807591.2807623" TargetMode="External" /><Relationship Type="http://schemas.openxmlformats.org/officeDocument/2006/relationships/hyperlink" Id="rId30" Target="https://doi.org/10.1145/3332186.3332210" TargetMode="External" /><Relationship Type="http://schemas.openxmlformats.org/officeDocument/2006/relationships/hyperlink" Id="rId22" Target="https://easybuild.io/eum23/" TargetMode="External" /><Relationship Type="http://schemas.openxmlformats.org/officeDocument/2006/relationships/hyperlink" Id="rId135" Target="https://github.com/archspec/archspec" TargetMode="External" /><Relationship Type="http://schemas.openxmlformats.org/officeDocument/2006/relationships/hyperlink" Id="rId156" Target="https://github.com/cvmfs/cvmfsexec" TargetMode="External" /><Relationship Type="http://schemas.openxmlformats.org/officeDocument/2006/relationships/hyperlink" Id="rId103" Target="https://lmod.readthedocs.io" TargetMode="External" /><Relationship Type="http://schemas.openxmlformats.org/officeDocument/2006/relationships/hyperlink" Id="rId44" Target="https://multixscale.github.io/cvmfs-tutorial-hpc-best-practices/" TargetMode="External" /><Relationship Type="http://schemas.openxmlformats.org/officeDocument/2006/relationships/hyperlink" Id="rId138" Target="https://reframe-hpc.readthedocs.io" TargetMode="External" /><Relationship Type="http://schemas.openxmlformats.org/officeDocument/2006/relationships/hyperlink" Id="rId24" Target="https://users.ugent.be/~kehoste/eum25/" TargetMode="External" /><Relationship Type="http://schemas.openxmlformats.org/officeDocument/2006/relationships/hyperlink" Id="rId20" Target="https://what.ndexr.io" TargetMode="External" /><Relationship Type="http://schemas.openxmlformats.org/officeDocument/2006/relationships/hyperlink" Id="rId85" Target="https://wiki.gentoo.org/wiki/Project:Prefix" TargetMode="External" /><Relationship Type="http://schemas.openxmlformats.org/officeDocument/2006/relationships/hyperlink" Id="rId72" Target="https://www.eessi.io/docs/" TargetMode="External" /><Relationship Type="http://schemas.openxmlformats.org/officeDocument/2006/relationships/hyperlink" Id="rId35" Target="https://www.eessi.io/docs/training-events/" TargetMode="External" /><Relationship Type="http://schemas.openxmlformats.org/officeDocument/2006/relationships/hyperlink" Id="rId74" Target="https://www.hpckp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https://archive.fosdem.org/2018/" TargetMode="External" /><Relationship Type="http://schemas.openxmlformats.org/officeDocument/2006/relationships/hyperlink" Id="rId37" Target="https://cvmfs.readthedocs.io" TargetMode="External" /><Relationship Type="http://schemas.openxmlformats.org/officeDocument/2006/relationships/hyperlink" Id="rId121" Target="https://docs.alliancecan.ca" TargetMode="External" /><Relationship Type="http://schemas.openxmlformats.org/officeDocument/2006/relationships/hyperlink" Id="rId101" Target="https://docs.easybuild.io" TargetMode="External" /><Relationship Type="http://schemas.openxmlformats.org/officeDocument/2006/relationships/hyperlink" Id="rId70" Target="https://doi.org/10.1002/spe.3075" TargetMode="External" /><Relationship Type="http://schemas.openxmlformats.org/officeDocument/2006/relationships/hyperlink" Id="rId60" Target="https://doi.org/10.1051/epjconf/202429504012" TargetMode="External" /><Relationship Type="http://schemas.openxmlformats.org/officeDocument/2006/relationships/hyperlink" Id="rId99" Target="https://doi.org/10.1109/HUST.2014.8" TargetMode="External" /><Relationship Type="http://schemas.openxmlformats.org/officeDocument/2006/relationships/hyperlink" Id="rId106" Target="https://doi.org/10.1145/2063348.2063360" TargetMode="External" /><Relationship Type="http://schemas.openxmlformats.org/officeDocument/2006/relationships/hyperlink" Id="rId41" Target="https://doi.org/10.1145/2110217.2110225" TargetMode="External" /><Relationship Type="http://schemas.openxmlformats.org/officeDocument/2006/relationships/hyperlink" Id="rId116" Target="https://doi.org/10.1145/2807591.2807623" TargetMode="External" /><Relationship Type="http://schemas.openxmlformats.org/officeDocument/2006/relationships/hyperlink" Id="rId30" Target="https://doi.org/10.1145/3332186.3332210" TargetMode="External" /><Relationship Type="http://schemas.openxmlformats.org/officeDocument/2006/relationships/hyperlink" Id="rId22" Target="https://easybuild.io/eum23/" TargetMode="External" /><Relationship Type="http://schemas.openxmlformats.org/officeDocument/2006/relationships/hyperlink" Id="rId135" Target="https://github.com/archspec/archspec" TargetMode="External" /><Relationship Type="http://schemas.openxmlformats.org/officeDocument/2006/relationships/hyperlink" Id="rId156" Target="https://github.com/cvmfs/cvmfsexec" TargetMode="External" /><Relationship Type="http://schemas.openxmlformats.org/officeDocument/2006/relationships/hyperlink" Id="rId103" Target="https://lmod.readthedocs.io" TargetMode="External" /><Relationship Type="http://schemas.openxmlformats.org/officeDocument/2006/relationships/hyperlink" Id="rId44" Target="https://multixscale.github.io/cvmfs-tutorial-hpc-best-practices/" TargetMode="External" /><Relationship Type="http://schemas.openxmlformats.org/officeDocument/2006/relationships/hyperlink" Id="rId138" Target="https://reframe-hpc.readthedocs.io" TargetMode="External" /><Relationship Type="http://schemas.openxmlformats.org/officeDocument/2006/relationships/hyperlink" Id="rId24" Target="https://users.ugent.be/~kehoste/eum25/" TargetMode="External" /><Relationship Type="http://schemas.openxmlformats.org/officeDocument/2006/relationships/hyperlink" Id="rId20" Target="https://what.ndexr.io" TargetMode="External" /><Relationship Type="http://schemas.openxmlformats.org/officeDocument/2006/relationships/hyperlink" Id="rId85" Target="https://wiki.gentoo.org/wiki/Project:Prefix" TargetMode="External" /><Relationship Type="http://schemas.openxmlformats.org/officeDocument/2006/relationships/hyperlink" Id="rId72" Target="https://www.eessi.io/docs/" TargetMode="External" /><Relationship Type="http://schemas.openxmlformats.org/officeDocument/2006/relationships/hyperlink" Id="rId35" Target="https://www.eessi.io/docs/training-events/" TargetMode="External" /><Relationship Type="http://schemas.openxmlformats.org/officeDocument/2006/relationships/hyperlink" Id="rId74" Target="https://www.hpckp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Compiled Once. Published Once. Mounted Everywhere.</dc:title>
  <dc:creator/>
  <cp:keywords/>
  <dcterms:created xsi:type="dcterms:W3CDTF">2026-08-09T20:45:21Z</dcterms:created>
  <dcterms:modified xsi:type="dcterms:W3CDTF">2026-08-09T20:45:21Z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date">
    <vt:lpwstr>2026-08-08</vt:lpwstr>
  </property>
  <property fmtid="{D5CDD505-2E9C-101B-9397-08002B2CF9AE}" pid="4" name="header-includes">
    <vt:lpwstr/>
  </property>
  <property fmtid="{D5CDD505-2E9C-101B-9397-08002B2CF9AE}" pid="5" name="include-after">
    <vt:lpwstr/>
  </property>
  <property fmtid="{D5CDD505-2E9C-101B-9397-08002B2CF9AE}" pid="6" name="include-before">
    <vt:lpwstr/>
  </property>
  <property fmtid="{D5CDD505-2E9C-101B-9397-08002B2CF9AE}" pid="7" name="labels">
    <vt:lpwstr/>
  </property>
  <property fmtid="{D5CDD505-2E9C-101B-9397-08002B2CF9AE}" pid="8" name="subtitle">
    <vt:lpwstr>How scientific software actually reaches the machines that run it - CernVM-FS, the Compute Canada model, and EESSI.</vt:lpwstr>
  </property>
  <property fmtid="{D5CDD505-2E9C-101B-9397-08002B2CF9AE}" pid="9" name="toc-title">
    <vt:lpwstr>Table of contents</vt:lpwstr>
  </property>
</Properties>
</file>