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png" ContentType="image/png"/>
  <Override PartName="/word/media/rId78.png" ContentType="image/png"/>
  <Override PartName="/word/media/rId82.png" ContentType="image/png"/>
  <Override PartName="/word/media/rId94.png" ContentType="image/png"/>
  <Override PartName="/word/media/rId31.png" ContentType="image/png"/>
  <Override PartName="/word/media/rId37.png" ContentType="image/png"/>
  <Override PartName="/word/media/rId45.png" ContentType="image/png"/>
  <Override PartName="/word/media/rId50.png" ContentType="image/png"/>
  <Override PartName="/word/media/rId55.png" ContentType="image/png"/>
  <Override PartName="/word/media/rId61.png" ContentType="image/png"/>
  <Override PartName="/word/media/rId65.png" ContentType="image/png"/>
  <Override PartName="/word/media/rId7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Compiled</w:t>
      </w:r>
      <w:r>
        <w:t xml:space="preserve"> </w:t>
      </w:r>
      <w:r>
        <w:t xml:space="preserve">Once.</w:t>
      </w:r>
      <w:r>
        <w:t xml:space="preserve"> </w:t>
      </w:r>
      <w:r>
        <w:t xml:space="preserve">Published</w:t>
      </w:r>
      <w:r>
        <w:t xml:space="preserve"> </w:t>
      </w:r>
      <w:r>
        <w:t xml:space="preserve">Once.</w:t>
      </w:r>
      <w:r>
        <w:t xml:space="preserve"> </w:t>
      </w:r>
      <w:r>
        <w:t xml:space="preserve">Mounted</w:t>
      </w:r>
      <w:r>
        <w:t xml:space="preserve"> </w:t>
      </w:r>
      <w:r>
        <w:t xml:space="preserve">Everywhere.</w:t>
      </w:r>
    </w:p>
    <w:p>
      <w:pPr>
        <w:pStyle w:val="Subtitle"/>
      </w:pPr>
      <w:r>
        <w:t xml:space="preserve">CernVM-FS,</w:t>
      </w:r>
      <w:r>
        <w:t xml:space="preserve"> </w:t>
      </w:r>
      <w:r>
        <w:t xml:space="preserve">the</w:t>
      </w:r>
      <w:r>
        <w:t xml:space="preserve"> </w:t>
      </w:r>
      <w:r>
        <w:t xml:space="preserve">Compute</w:t>
      </w:r>
      <w:r>
        <w:t xml:space="preserve"> </w:t>
      </w:r>
      <w:r>
        <w:t xml:space="preserve">Canada</w:t>
      </w:r>
      <w:r>
        <w:t xml:space="preserve"> </w:t>
      </w:r>
      <w:r>
        <w:t xml:space="preserve">model,</w:t>
      </w:r>
      <w:r>
        <w:t xml:space="preserve"> </w:t>
      </w:r>
      <w:r>
        <w:t xml:space="preserve">and</w:t>
      </w:r>
      <w:r>
        <w:t xml:space="preserve"> </w:t>
      </w:r>
      <w:r>
        <w:t xml:space="preserve">EESSI</w:t>
      </w:r>
      <w:r>
        <w:t xml:space="preserve"> </w:t>
      </w:r>
      <w:r>
        <w:t xml:space="preserve">-</w:t>
      </w:r>
      <w:r>
        <w:t xml:space="preserve"> </w:t>
      </w:r>
      <w:r>
        <w:t xml:space="preserve">how</w:t>
      </w:r>
      <w:r>
        <w:t xml:space="preserve"> </w:t>
      </w:r>
      <w:r>
        <w:t xml:space="preserve">scientific</w:t>
      </w:r>
      <w:r>
        <w:t xml:space="preserve"> </w:t>
      </w:r>
      <w:r>
        <w:t xml:space="preserve">software</w:t>
      </w:r>
      <w:r>
        <w:t xml:space="preserve"> </w:t>
      </w:r>
      <w:r>
        <w:t xml:space="preserve">actually</w:t>
      </w:r>
      <w:r>
        <w:t xml:space="preserve"> </w:t>
      </w:r>
      <w:r>
        <w:t xml:space="preserve">reaches</w:t>
      </w:r>
      <w:r>
        <w:t xml:space="preserve"> </w:t>
      </w:r>
      <w:r>
        <w:t xml:space="preserve">the</w:t>
      </w:r>
      <w:r>
        <w:t xml:space="preserve"> </w:t>
      </w:r>
      <w:r>
        <w:t xml:space="preserve">machines</w:t>
      </w:r>
      <w:r>
        <w:t xml:space="preserve"> </w:t>
      </w:r>
      <w:r>
        <w:t xml:space="preserve">that</w:t>
      </w:r>
      <w:r>
        <w:t xml:space="preserve"> </w:t>
      </w:r>
      <w:r>
        <w:t xml:space="preserve">run</w:t>
      </w:r>
      <w:r>
        <w:t xml:space="preserve"> </w:t>
      </w:r>
      <w:r>
        <w:t xml:space="preserve">it</w:t>
      </w:r>
    </w:p>
    <w:p>
      <w:pPr>
        <w:pStyle w:val="Author"/>
      </w:pPr>
      <w:r>
        <w:t xml:space="preserve">ndexr.io</w:t>
      </w:r>
    </w:p>
    <w:p>
      <w:pPr>
        <w:pStyle w:val="Date"/>
      </w:pPr>
      <w:r>
        <w:t xml:space="preserve">2026-08-08</w:t>
      </w:r>
    </w:p>
    <w:bookmarkStart w:id="29" w:name="part-i---the-problem-nobody-funds"/>
    <w:p>
      <w:pPr>
        <w:pStyle w:val="Heading1"/>
      </w:pPr>
      <w:r>
        <w:t xml:space="preserve">Part I - The problem nobody funds</w:t>
      </w:r>
    </w:p>
    <w:bookmarkStart w:id="20" w:name="enterprise-linux-is-old-on-purpose"/>
    <w:p>
      <w:pPr>
        <w:pStyle w:val="Heading2"/>
      </w:pPr>
      <w:r>
        <w:t xml:space="preserve">Enterprise Linux is old on purpose</w:t>
      </w:r>
    </w:p>
    <w:p>
      <w:pPr>
        <w:pStyle w:val="FirstParagraph"/>
      </w:pPr>
      <w:r>
        <w:t xml:space="preserve">Your cluster runs an enterprise distribution because the vendor supports the interconnect, the parallel filesystem and the GPU driver against</w:t>
      </w:r>
      <w:r>
        <w:t xml:space="preserve"> </w:t>
      </w:r>
      <w:r>
        <w:rPr>
          <w:b/>
          <w:bCs/>
        </w:rPr>
        <w:t xml:space="preserve">that kernel and no other</w:t>
      </w:r>
      <w:r>
        <w:t xml:space="preserve">. The cost is a frozen userland.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Distribution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Kernel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GCC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glibc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Python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RHEL / Rocky 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3.9.2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RHEL / Rocky 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3.9.10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Fedora 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3.13.0</w:t>
            </w:r>
          </w:p>
        </w:tc>
      </w:tr>
    </w:tbl>
    <w:p>
      <w:pPr>
        <w:pStyle w:val="BodyText"/>
      </w:pPr>
      <w:r>
        <w:t xml:space="preserve">The first two rows are what you run. The third is what your users’ documentation assumes.</w:t>
      </w:r>
    </w:p>
    <w:bookmarkEnd w:id="20"/>
    <w:bookmarkStart w:id="21" w:name="Xeac9db52361f5fd3b375bc14667beb650420e7d"/>
    <w:p>
      <w:pPr>
        <w:pStyle w:val="Heading2"/>
      </w:pPr>
      <w:r>
        <w:t xml:space="preserve">So everybody installs everything, everywhere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user’s move fails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sudo dnf install ...</w:t>
      </w:r>
      <w:r>
        <w:t xml:space="preserve"> </w:t>
      </w:r>
      <w:r>
        <w:t xml:space="preserve">on a login node, and the sudoers lecture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administrator’s move does not scale</w:t>
      </w:r>
      <w:r>
        <w:t xml:space="preserve"> </w:t>
      </w:r>
      <w:r>
        <w:t xml:space="preserve">- one modulefile, then another version, then a second compiler, then a third MPI. All written by hand.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 site next door is doing it too</w:t>
      </w:r>
      <w:r>
        <w:t xml:space="preserve"> </w:t>
      </w:r>
      <w:r>
        <w:t xml:space="preserve">- same packages, same sources, different results</w:t>
      </w:r>
    </w:p>
    <w:p>
      <w:pPr>
        <w:pStyle w:val="FirstParagraph"/>
      </w:pPr>
      <w:r>
        <w:t xml:space="preserve">The effort is real, the people are good, and almost all of it is duplicated.</w:t>
      </w:r>
    </w:p>
    <w:bookmarkEnd w:id="21"/>
    <w:bookmarkStart w:id="25" w:name="the-axis-is-not-build-or-mount"/>
    <w:p>
      <w:pPr>
        <w:pStyle w:val="Heading2"/>
      </w:pPr>
      <w:r>
        <w:t xml:space="preserve">The axis is not build-or-mount</w:t>
      </w:r>
    </w:p>
    <w:p>
      <w:pPr>
        <w:pStyle w:val="FirstParagraph"/>
      </w:pPr>
      <w:r>
        <w:drawing>
          <wp:inline>
            <wp:extent cx="5334000" cy="2844243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diagrams/fig1-install-once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42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 is</w:t>
      </w:r>
      <w:r>
        <w:t xml:space="preserve"> </w:t>
      </w:r>
      <w:r>
        <w:rPr>
          <w:b/>
          <w:bCs/>
        </w:rPr>
        <w:t xml:space="preserve">how many times</w:t>
      </w:r>
      <w:r>
        <w:t xml:space="preserve">. The tree gets built either way.</w:t>
      </w:r>
    </w:p>
    <w:bookmarkEnd w:id="25"/>
    <w:bookmarkStart w:id="26" w:name="X5660896522c7034fa9da463b0ca77684b7aaf05"/>
    <w:p>
      <w:pPr>
        <w:pStyle w:val="Heading2"/>
      </w:pPr>
      <w:r>
        <w:t xml:space="preserve">The four requirements, written before the tools</w:t>
      </w:r>
    </w:p>
    <w:p>
      <w:pPr>
        <w:pStyle w:val="BlockText"/>
      </w:pPr>
      <w:r>
        <w:t xml:space="preserve">Users should be presented with an interface that is as consistent and as easy to use as possible across all sites. It should also offer optimal performance.</w:t>
      </w:r>
    </w:p>
    <w:p>
      <w:pPr>
        <w:pStyle w:val="BlockText"/>
      </w:pPr>
      <w:r>
        <w:t xml:space="preserve">— Digital Research Alliance of Canada</w:t>
      </w:r>
    </w:p>
    <w:p>
      <w:pPr>
        <w:pStyle w:val="Compact"/>
        <w:numPr>
          <w:ilvl w:val="0"/>
          <w:numId w:val="1002"/>
        </w:numPr>
      </w:pPr>
      <w:r>
        <w:t xml:space="preserve">A way to</w:t>
      </w:r>
      <w:r>
        <w:t xml:space="preserve"> </w:t>
      </w:r>
      <w:r>
        <w:rPr>
          <w:b/>
          <w:bCs/>
        </w:rPr>
        <w:t xml:space="preserve">distribute</w:t>
      </w:r>
      <w:r>
        <w:t xml:space="preserve"> </w:t>
      </w:r>
      <w:r>
        <w:t xml:space="preserve">it → CernVM-FS</w:t>
      </w:r>
    </w:p>
    <w:p>
      <w:pPr>
        <w:pStyle w:val="Compact"/>
        <w:numPr>
          <w:ilvl w:val="0"/>
          <w:numId w:val="1002"/>
        </w:numPr>
      </w:pPr>
      <w:r>
        <w:t xml:space="preserve">Independence from the</w:t>
      </w:r>
      <w:r>
        <w:t xml:space="preserve"> </w:t>
      </w:r>
      <w:r>
        <w:rPr>
          <w:b/>
          <w:bCs/>
        </w:rPr>
        <w:t xml:space="preserve">host OS</w:t>
      </w:r>
      <w:r>
        <w:t xml:space="preserve"> </w:t>
      </w:r>
      <w:r>
        <w:t xml:space="preserve">→ a compatibility layer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Automated installation</w:t>
      </w:r>
      <w:r>
        <w:t xml:space="preserve"> </w:t>
      </w:r>
      <w:r>
        <w:t xml:space="preserve">- humans are not consistent → EasyBuild</w:t>
      </w:r>
    </w:p>
    <w:p>
      <w:pPr>
        <w:pStyle w:val="Compact"/>
        <w:numPr>
          <w:ilvl w:val="0"/>
          <w:numId w:val="1002"/>
        </w:numPr>
      </w:pPr>
      <w:r>
        <w:t xml:space="preserve">An interface that survives</w:t>
      </w:r>
      <w:r>
        <w:t xml:space="preserve"> </w:t>
      </w:r>
      <w:r>
        <w:rPr>
          <w:b/>
          <w:bCs/>
        </w:rPr>
        <w:t xml:space="preserve">ten thousand combinations</w:t>
      </w:r>
      <w:r>
        <w:t xml:space="preserve"> </w:t>
      </w:r>
      <w:r>
        <w:t xml:space="preserve">→ Lmod, hierarchical</w:t>
      </w:r>
    </w:p>
    <w:bookmarkEnd w:id="26"/>
    <w:bookmarkStart w:id="27" w:name="isnt-this-what-containers-are-for"/>
    <w:p>
      <w:pPr>
        <w:pStyle w:val="Heading2"/>
      </w:pPr>
      <w:r>
        <w:t xml:space="preserve">“</w:t>
      </w:r>
      <w:r>
        <w:t xml:space="preserve">Isn’t this what containers are for?</w:t>
      </w:r>
      <w:r>
        <w:t xml:space="preserve">”</w:t>
      </w:r>
    </w:p>
    <w:p>
      <w:pPr>
        <w:pStyle w:val="FirstParagraph"/>
      </w:pPr>
      <w:r>
        <w:t xml:space="preserve">Two things the word</w:t>
      </w:r>
      <w:r>
        <w:t xml:space="preserve"> </w:t>
      </w:r>
      <w:r>
        <w:rPr>
          <w:i/>
          <w:iCs/>
        </w:rPr>
        <w:t xml:space="preserve">reproducible</w:t>
      </w:r>
      <w:r>
        <w:t xml:space="preserve"> </w:t>
      </w:r>
      <w:r>
        <w:t xml:space="preserve">is doing at once: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Repeatability</w:t>
      </w:r>
      <w:r>
        <w:t xml:space="preserve"> </w:t>
      </w:r>
      <w:r>
        <w:t xml:space="preserve">- running the same bits again. Containers are excellent at this.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Accountability</w:t>
      </w:r>
      <w:r>
        <w:t xml:space="preserve"> </w:t>
      </w:r>
      <w:r>
        <w:t xml:space="preserve">- saying what those bits</w:t>
      </w:r>
      <w:r>
        <w:t xml:space="preserve"> </w:t>
      </w:r>
      <w:r>
        <w:rPr>
          <w:i/>
          <w:iCs/>
        </w:rPr>
        <w:t xml:space="preserve">are</w:t>
      </w:r>
      <w:r>
        <w:t xml:space="preserve">. A container cannot touch it.</w:t>
      </w:r>
    </w:p>
    <w:p>
      <w:pPr>
        <w:pStyle w:val="FirstParagraph"/>
      </w:pPr>
      <w:r>
        <w:rPr>
          <w:i/>
          <w:iCs/>
        </w:rPr>
        <w:t xml:space="preserve">A container is a distribution format, not a derivation.</w:t>
      </w:r>
      <w:r>
        <w:t xml:space="preserve"> </w:t>
      </w:r>
      <w:r>
        <w:t xml:space="preserve">Freezing an unknown does not make it known.</w:t>
      </w:r>
    </w:p>
    <w:bookmarkEnd w:id="27"/>
    <w:bookmarkStart w:id="28" w:name="and-separately-the-practical-failure"/>
    <w:p>
      <w:pPr>
        <w:pStyle w:val="Heading2"/>
      </w:pPr>
      <w:r>
        <w:t xml:space="preserve">And, separately, the practical failure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image grows with the catalogue</w:t>
      </w:r>
      <w:r>
        <w:t xml:space="preserve"> </w:t>
      </w:r>
      <w:r>
        <w:t xml:space="preserve">- the unit of change is the whole image, not the package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You ship what might be used, not what is</w:t>
      </w:r>
      <w:r>
        <w:t xml:space="preserve"> </w:t>
      </w:r>
      <w:r>
        <w:t xml:space="preserve">- importing one Python library touches ~3,500 files out of hundreds of thousands</w:t>
      </w:r>
    </w:p>
    <w:p>
      <w:pPr>
        <w:pStyle w:val="FirstParagraph"/>
      </w:pPr>
      <w:r>
        <w:t xml:space="preserve">Containers stay in the picture. They carry an OS and a</w:t>
      </w:r>
      <w:r>
        <w:t xml:space="preserve"> </w:t>
      </w:r>
      <w:r>
        <w:rPr>
          <w:b/>
          <w:bCs/>
        </w:rPr>
        <w:t xml:space="preserve">mount point</w:t>
      </w:r>
      <w:r>
        <w:t xml:space="preserve">, not a stack.</w:t>
      </w:r>
    </w:p>
    <w:bookmarkEnd w:id="28"/>
    <w:bookmarkEnd w:id="29"/>
    <w:bookmarkStart w:id="49" w:name="part-ii---the-delivery-substrate"/>
    <w:p>
      <w:pPr>
        <w:pStyle w:val="Heading1"/>
      </w:pPr>
      <w:r>
        <w:t xml:space="preserve">Part II - The delivery substrate</w:t>
      </w:r>
    </w:p>
    <w:bookmarkStart w:id="30" w:name="cernvm-fs-software-streamed"/>
    <w:p>
      <w:pPr>
        <w:pStyle w:val="Heading2"/>
      </w:pPr>
      <w:r>
        <w:t xml:space="preserve">CernVM-FS: software, streamed</w:t>
      </w:r>
    </w:p>
    <w:p>
      <w:pPr>
        <w:pStyle w:val="FirstParagraph"/>
      </w:pPr>
      <w:r>
        <w:t xml:space="preserve">A read-only directory under</w:t>
      </w:r>
      <w:r>
        <w:t xml:space="preserve"> </w:t>
      </w:r>
      <w:r>
        <w:rPr>
          <w:rStyle w:val="VerbatimChar"/>
        </w:rPr>
        <w:t xml:space="preserve">/cvmfs</w:t>
      </w:r>
      <w:r>
        <w:t xml:space="preserve"> </w:t>
      </w:r>
      <w:r>
        <w:t xml:space="preserve">that behaves like an on-demand streaming service. Nothing installed, nothing downloaded up front - files arrive when a process opens them.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 filesystem, not a package manager</w:t>
      </w:r>
      <w:r>
        <w:t xml:space="preserve"> </w:t>
      </w:r>
      <w:r>
        <w:t xml:space="preserve">- FUSE, so every tool that opens a file can use it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Content-addressed</w:t>
      </w:r>
      <w:r>
        <w:t xml:space="preserve"> </w:t>
      </w:r>
      <w:r>
        <w:t xml:space="preserve">- identical bytes stored once, everywhere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Compressed on the server</w:t>
      </w:r>
      <w:r>
        <w:t xml:space="preserve">, transparent on the client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Ordinary HTTP</w:t>
      </w:r>
      <w:r>
        <w:t xml:space="preserve"> </w:t>
      </w:r>
      <w:r>
        <w:t xml:space="preserve">- the cache is Squid, the mirror is Apache</w:t>
      </w:r>
    </w:p>
    <w:bookmarkEnd w:id="30"/>
    <w:bookmarkStart w:id="34" w:name="X41e8ead2bedecaa750ec5c4530d4e12bde5ba2b"/>
    <w:p>
      <w:pPr>
        <w:pStyle w:val="Heading2"/>
      </w:pPr>
      <w:r>
        <w:t xml:space="preserve">Integrity: one signature, covering everything</w:t>
      </w:r>
    </w:p>
    <w:p>
      <w:pPr>
        <w:pStyle w:val="FirstParagraph"/>
      </w:pPr>
      <w:r>
        <w:drawing>
          <wp:inline>
            <wp:extent cx="4174949" cy="36195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diagrams/fig2-merkle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949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Exactly one object is signed. Everything else is reachable from it by content hash.</w:t>
      </w:r>
    </w:p>
    <w:bookmarkEnd w:id="34"/>
    <w:bookmarkStart w:id="35" w:name="the-manifest-is-the-entire-entry-point"/>
    <w:p>
      <w:pPr>
        <w:pStyle w:val="Heading2"/>
      </w:pPr>
      <w:r>
        <w:t xml:space="preserve">The manifest is the entire entry point</w:t>
      </w:r>
    </w:p>
    <w:p>
      <w:pPr>
        <w:pStyle w:val="SourceCode"/>
      </w:pPr>
      <w:r>
        <w:rPr>
          <w:rStyle w:val="VerbatimChar"/>
        </w:rPr>
        <w:t xml:space="preserve">C7d1e...                 # root catalog, by content hash</w:t>
      </w:r>
      <w:r>
        <w:br/>
      </w:r>
      <w:r>
        <w:rPr>
          <w:rStyle w:val="VerbatimChar"/>
        </w:rPr>
        <w:t xml:space="preserve">B1179648                 # its size in bytes</w:t>
      </w:r>
      <w:r>
        <w:br/>
      </w:r>
      <w:r>
        <w:rPr>
          <w:rStyle w:val="VerbatimChar"/>
        </w:rPr>
        <w:t xml:space="preserve">Xf3a9...                 # hash of the signing certificate</w:t>
      </w:r>
      <w:r>
        <w:br/>
      </w:r>
      <w:r>
        <w:rPr>
          <w:rStyle w:val="VerbatimChar"/>
        </w:rPr>
        <w:t xml:space="preserve">T1747526400              # when this revision was published</w:t>
      </w:r>
      <w:r>
        <w:br/>
      </w:r>
      <w:r>
        <w:rPr>
          <w:rStyle w:val="VerbatimChar"/>
        </w:rPr>
        <w:t xml:space="preserve">D240                     # how long a client may cache it</w:t>
      </w:r>
      <w:r>
        <w:br/>
      </w:r>
      <w:r>
        <w:rPr>
          <w:rStyle w:val="VerbatimChar"/>
        </w:rPr>
        <w:t xml:space="preserve">S5348                    # revision number</w:t>
      </w:r>
      <w:r>
        <w:br/>
      </w:r>
      <w:r>
        <w:rPr>
          <w:rStyle w:val="VerbatimChar"/>
        </w:rPr>
        <w:t xml:space="preserve">Nsoftware.eessi.io       # fully qualified repository name</w:t>
      </w:r>
      <w:r>
        <w:br/>
      </w:r>
      <w:r>
        <w:rPr>
          <w:rStyle w:val="VerbatimChar"/>
        </w:rPr>
        <w:t xml:space="preserve">--                       # everything below is the signature</w:t>
      </w:r>
    </w:p>
    <w:p>
      <w:pPr>
        <w:pStyle w:val="FirstParagraph"/>
      </w:pPr>
      <w:r>
        <w:t xml:space="preserve">The transport does not need to be trusted. A proxy, a mirror or a disk can be wrong without the client being wrong.</w:t>
      </w:r>
    </w:p>
    <w:bookmarkEnd w:id="35"/>
    <w:bookmarkStart w:id="36" w:name="publishing-is-a-transaction"/>
    <w:p>
      <w:pPr>
        <w:pStyle w:val="Heading2"/>
      </w:pPr>
      <w:r>
        <w:t xml:space="preserve">Publishing is a transaction</w:t>
      </w:r>
    </w:p>
    <w:p>
      <w:pPr>
        <w:pStyle w:val="SourceCode"/>
      </w:pPr>
      <w:r>
        <w:rPr>
          <w:rStyle w:val="VerbatimChar"/>
        </w:rPr>
        <w:t xml:space="preserve">cvmfs_server transaction  software.example.org</w:t>
      </w:r>
      <w:r>
        <w:br/>
      </w:r>
      <w:r>
        <w:rPr>
          <w:rStyle w:val="VerbatimChar"/>
        </w:rPr>
        <w:t xml:space="preserve">#   ... install ...</w:t>
      </w:r>
      <w:r>
        <w:br/>
      </w:r>
      <w:r>
        <w:rPr>
          <w:rStyle w:val="VerbatimChar"/>
        </w:rPr>
        <w:t xml:space="preserve">cvmfs_server publish -a r-4.5.1 -m 'R 4.5.1, foss/2023a' software.example.org</w:t>
      </w:r>
      <w:r>
        <w:br/>
      </w:r>
      <w:r>
        <w:br/>
      </w:r>
      <w:r>
        <w:rPr>
          <w:rStyle w:val="VerbatimChar"/>
        </w:rPr>
        <w:t xml:space="preserve">cvmfs_server abort        software.example.org   # throws it all away</w:t>
      </w:r>
      <w:r>
        <w:br/>
      </w:r>
      <w:r>
        <w:rPr>
          <w:rStyle w:val="VerbatimChar"/>
        </w:rPr>
        <w:t xml:space="preserve">cvmfs_server rollback -t  r-4.5.1                # go back to a named revision</w:t>
      </w:r>
    </w:p>
    <w:p>
      <w:pPr>
        <w:pStyle w:val="FirstParagraph"/>
      </w:pPr>
      <w:r>
        <w:t xml:space="preserve">Every publish is an immutable revision. There is no half-published state for a client to catch.</w:t>
      </w:r>
    </w:p>
    <w:bookmarkEnd w:id="36"/>
    <w:bookmarkStart w:id="40" w:name="four-tiers-and-what-each-one-is-for"/>
    <w:p>
      <w:pPr>
        <w:pStyle w:val="Heading2"/>
      </w:pPr>
      <w:r>
        <w:t xml:space="preserve">Four tiers, and what each one is for</w:t>
      </w:r>
    </w:p>
    <w:p>
      <w:pPr>
        <w:pStyle w:val="FirstParagraph"/>
      </w:pPr>
      <w:r>
        <w:drawing>
          <wp:inline>
            <wp:extent cx="4119538" cy="38100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diagrams/fig3-distribution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538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1" w:name="sizing-in-one-slide"/>
    <w:p>
      <w:pPr>
        <w:pStyle w:val="Heading2"/>
      </w:pPr>
      <w:r>
        <w:t xml:space="preserve">Sizing, in one slide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Stratum 0</w:t>
      </w:r>
      <w:r>
        <w:t xml:space="preserve"> </w:t>
      </w:r>
      <w:r>
        <w:t xml:space="preserve">- the only writable copy. Small, controlled, not load-bearing for readers.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Stratum 1</w:t>
      </w:r>
      <w:r>
        <w:t xml:space="preserve"> </w:t>
      </w:r>
      <w:r>
        <w:t xml:space="preserve">- full replica. Private one ≈ 360 GB for EESSI, +1 GB/day. Your disconnect insurance.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Proxy</w:t>
      </w:r>
      <w:r>
        <w:t xml:space="preserve"> </w:t>
      </w:r>
      <w:r>
        <w:t xml:space="preserve">- one per</w:t>
      </w:r>
      <w:r>
        <w:t xml:space="preserve"> </w:t>
      </w:r>
      <w:r>
        <w:rPr>
          <w:b/>
          <w:bCs/>
        </w:rPr>
        <w:t xml:space="preserve">100-500 nodes</w:t>
      </w:r>
      <w:r>
        <w:t xml:space="preserve">, at least two. This is what makes MPI start-up bearable.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Client cache</w:t>
      </w:r>
      <w:r>
        <w:t xml:space="preserve"> </w:t>
      </w:r>
      <w:r>
        <w:t xml:space="preserve">- on the SSD, big enough. Where almost every read is answered.</w:t>
      </w:r>
    </w:p>
    <w:bookmarkEnd w:id="41"/>
    <w:bookmarkStart w:id="42" w:name="the-entire-client-configuration"/>
    <w:p>
      <w:pPr>
        <w:pStyle w:val="Heading2"/>
      </w:pPr>
      <w:r>
        <w:t xml:space="preserve">The entire client configuration</w:t>
      </w:r>
    </w:p>
    <w:p>
      <w:pPr>
        <w:pStyle w:val="SourceCode"/>
      </w:pPr>
      <w:r>
        <w:rPr>
          <w:rStyle w:val="VerbatimChar"/>
        </w:rPr>
        <w:t xml:space="preserve"># /etc/cvmfs/default.local</w:t>
      </w:r>
      <w:r>
        <w:br/>
      </w:r>
      <w:r>
        <w:rPr>
          <w:rStyle w:val="VerbatimChar"/>
        </w:rPr>
        <w:t xml:space="preserve">CVMFS_HTTP_PROXY="http://proxy-a:3128|http://proxy-b:3128"</w:t>
      </w:r>
      <w:r>
        <w:br/>
      </w:r>
      <w:r>
        <w:rPr>
          <w:rStyle w:val="VerbatimChar"/>
        </w:rPr>
        <w:t xml:space="preserve">CVMFS_QUOTA_LIMIT=10000          # 10 GB of local cache</w:t>
      </w:r>
      <w:r>
        <w:br/>
      </w:r>
      <w:r>
        <w:rPr>
          <w:rStyle w:val="VerbatimChar"/>
        </w:rPr>
        <w:t xml:space="preserve">CVMFS_CACHE_BASE=/ssd/cvmfs      # the fastest disk the node has</w:t>
      </w:r>
      <w:r>
        <w:br/>
      </w:r>
      <w:r>
        <w:br/>
      </w:r>
      <w:r>
        <w:rPr>
          <w:rStyle w:val="VerbatimChar"/>
        </w:rPr>
        <w:t xml:space="preserve">sudo cvmfs_config reload</w:t>
      </w:r>
      <w:r>
        <w:br/>
      </w:r>
      <w:r>
        <w:rPr>
          <w:rStyle w:val="VerbatimChar"/>
        </w:rPr>
        <w:t xml:space="preserve">ls /cvmfs/software.eessi.io      # mounted on demand by autofs</w:t>
      </w:r>
    </w:p>
    <w:bookmarkEnd w:id="42"/>
    <w:bookmarkStart w:id="43" w:name="what-it-scales-to-cern-may-2026"/>
    <w:p>
      <w:pPr>
        <w:pStyle w:val="Heading2"/>
      </w:pPr>
      <w:r>
        <w:t xml:space="preserve">What it scales to (CERN, May 2026)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~15</w:t>
      </w:r>
      <w:r>
        <w:t xml:space="preserve"> </w:t>
      </w:r>
      <w:r>
        <w:t xml:space="preserve">Stratum 1 mirror servers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&gt; 33 billion</w:t>
      </w:r>
      <w:r>
        <w:t xml:space="preserve"> </w:t>
      </w:r>
      <w:r>
        <w:t xml:space="preserve">files in the</w:t>
      </w:r>
      <w:r>
        <w:t xml:space="preserve"> </w:t>
      </w:r>
      <w:r>
        <w:rPr>
          <w:rStyle w:val="VerbatimChar"/>
        </w:rPr>
        <w:t xml:space="preserve">/cvmfs</w:t>
      </w:r>
      <w:r>
        <w:t xml:space="preserve"> </w:t>
      </w:r>
      <w:r>
        <w:t xml:space="preserve">tree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~2 PB</w:t>
      </w:r>
      <w:r>
        <w:t xml:space="preserve"> </w:t>
      </w:r>
      <w:r>
        <w:t xml:space="preserve">accessible - proven to 100 PB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~290</w:t>
      </w:r>
      <w:r>
        <w:t xml:space="preserve"> </w:t>
      </w:r>
      <w:r>
        <w:t xml:space="preserve">repositories, including 8,000+ container images</w:t>
      </w:r>
    </w:p>
    <w:bookmarkEnd w:id="43"/>
    <w:bookmarkStart w:id="44" w:name="X1c3644c38273c7fa7f0fa7244e60fb094900d3a"/>
    <w:p>
      <w:pPr>
        <w:pStyle w:val="Heading2"/>
      </w:pPr>
      <w:r>
        <w:t xml:space="preserve">It is faster than the filesystem you already own</w:t>
      </w:r>
    </w:p>
    <w:p>
      <w:pPr>
        <w:pStyle w:val="FirstParagraph"/>
      </w:pPr>
      <w:r>
        <w:t xml:space="preserve">Importing one Python package touches ~3,500 files / ~1.1 GB, most of them tiny.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Where the software lives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 to import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Local SSD or ramdisk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~2 s (the floor)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GPFS / Lustre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30-60 s</w:t>
            </w:r>
            <w:r>
              <w:t xml:space="preserve">, even with a hot pagepool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CernVM-FS, cold cache, near Stratum 1 + proxy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dramatically better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CernVM-FS, warm client cache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approx. local disk</w:t>
            </w:r>
          </w:p>
        </w:tc>
      </w:tr>
    </w:tbl>
    <w:bookmarkEnd w:id="44"/>
    <w:bookmarkStart w:id="48" w:name="why-only-the-closure-crosses-the-wire"/>
    <w:p>
      <w:pPr>
        <w:pStyle w:val="Heading2"/>
      </w:pPr>
      <w:r>
        <w:t xml:space="preserve">Why: only the closure crosses the wire</w:t>
      </w:r>
    </w:p>
    <w:p>
      <w:pPr>
        <w:pStyle w:val="FirstParagraph"/>
      </w:pPr>
      <w:r>
        <w:drawing>
          <wp:inline>
            <wp:extent cx="5334000" cy="2365438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diagrams/fig4-lazy-fetch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65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catalogue grows without bound because nothing pays for the parts it does not open.</w:t>
      </w:r>
    </w:p>
    <w:bookmarkEnd w:id="48"/>
    <w:bookmarkEnd w:id="49"/>
    <w:bookmarkStart w:id="87" w:name="Xb94ef150b9b0fa1b2d0eeb772f211ae91f5e041"/>
    <w:p>
      <w:pPr>
        <w:pStyle w:val="Heading1"/>
      </w:pPr>
      <w:r>
        <w:t xml:space="preserve">Part III - One architecture, two implementations</w:t>
      </w:r>
    </w:p>
    <w:bookmarkStart w:id="53" w:name="four-layers"/>
    <w:p>
      <w:pPr>
        <w:pStyle w:val="Heading2"/>
      </w:pPr>
      <w:r>
        <w:t xml:space="preserve">Four layers</w:t>
      </w:r>
    </w:p>
    <w:p>
      <w:pPr>
        <w:pStyle w:val="FirstParagraph"/>
      </w:pPr>
      <w:r>
        <w:drawing>
          <wp:inline>
            <wp:extent cx="2367228" cy="38100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diagrams/fig5-four-layers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28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3"/>
    <w:bookmarkStart w:id="54" w:name="X7f9390833443c8193bf35ef9bf736242bab5160"/>
    <w:p>
      <w:pPr>
        <w:pStyle w:val="Heading2"/>
      </w:pPr>
      <w:r>
        <w:t xml:space="preserve">…and the middle one is a role, not a product</w:t>
      </w:r>
    </w:p>
    <w:p>
      <w:pPr>
        <w:pStyle w:val="Compact"/>
        <w:numPr>
          <w:ilvl w:val="0"/>
          <w:numId w:val="1008"/>
        </w:numPr>
      </w:pPr>
      <w:r>
        <w:t xml:space="preserve">Canada filled the compatibility slot with</w:t>
      </w:r>
      <w:r>
        <w:t xml:space="preserve"> </w:t>
      </w:r>
      <w:r>
        <w:rPr>
          <w:b/>
          <w:bCs/>
        </w:rPr>
        <w:t xml:space="preserve">Nix</w:t>
      </w:r>
    </w:p>
    <w:p>
      <w:pPr>
        <w:pStyle w:val="Compact"/>
        <w:numPr>
          <w:ilvl w:val="0"/>
          <w:numId w:val="1008"/>
        </w:numPr>
      </w:pPr>
      <w:r>
        <w:t xml:space="preserve">Canada then replaced it with</w:t>
      </w:r>
      <w:r>
        <w:t xml:space="preserve"> </w:t>
      </w:r>
      <w:r>
        <w:rPr>
          <w:b/>
          <w:bCs/>
        </w:rPr>
        <w:t xml:space="preserve">Gentoo Prefix</w:t>
      </w:r>
    </w:p>
    <w:p>
      <w:pPr>
        <w:pStyle w:val="Compact"/>
        <w:numPr>
          <w:ilvl w:val="0"/>
          <w:numId w:val="1008"/>
        </w:numPr>
      </w:pPr>
      <w:r>
        <w:t xml:space="preserve">EESSI chose</w:t>
      </w:r>
      <w:r>
        <w:t xml:space="preserve"> </w:t>
      </w:r>
      <w:r>
        <w:rPr>
          <w:b/>
          <w:bCs/>
        </w:rPr>
        <w:t xml:space="preserve">Gentoo Prefix</w:t>
      </w:r>
      <w:r>
        <w:t xml:space="preserve"> </w:t>
      </w:r>
      <w:r>
        <w:t xml:space="preserve">from the start</w:t>
      </w:r>
    </w:p>
    <w:p>
      <w:pPr>
        <w:pStyle w:val="FirstParagraph"/>
      </w:pPr>
      <w:r>
        <w:t xml:space="preserve">Three configurations, two programmes, one working architecture each time - and the layers above and below did not change when it was swapped.</w:t>
      </w:r>
    </w:p>
    <w:p>
      <w:pPr>
        <w:pStyle w:val="BodyText"/>
      </w:pPr>
      <w:r>
        <w:rPr>
          <w:i/>
          <w:iCs/>
        </w:rPr>
        <w:t xml:space="preserve">This converts a technology bet into an architectural choice.</w:t>
      </w:r>
    </w:p>
    <w:bookmarkEnd w:id="54"/>
    <w:bookmarkStart w:id="58" w:name="the-compatibility-layer"/>
    <w:p>
      <w:pPr>
        <w:pStyle w:val="Heading2"/>
      </w:pPr>
      <w:r>
        <w:t xml:space="preserve">The compatibility layer</w:t>
      </w:r>
    </w:p>
    <w:p>
      <w:pPr>
        <w:pStyle w:val="FirstParagraph"/>
      </w:pPr>
      <w:r>
        <w:t xml:space="preserve">A full OS userland installed somewhere other than</w:t>
      </w:r>
      <w:r>
        <w:t xml:space="preserve"> </w:t>
      </w:r>
      <w:r>
        <w:rPr>
          <w:rStyle w:val="VerbatimChar"/>
        </w:rPr>
        <w:t xml:space="preserve">/</w:t>
      </w:r>
      <w:r>
        <w:t xml:space="preserve"> </w:t>
      </w:r>
      <w:r>
        <w:t xml:space="preserve">- its own loader, glibc, coreutils, bash, autotools - built from source, without root.</w:t>
      </w:r>
    </w:p>
    <w:p>
      <w:pPr>
        <w:pStyle w:val="BodyText"/>
      </w:pPr>
      <w:r>
        <w:drawing>
          <wp:inline>
            <wp:extent cx="4326405" cy="314325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diagrams/fig6-prefix-boundary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40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8"/>
    <w:bookmarkStart w:id="59" w:name="why-nix-was-replaced-in-their-words"/>
    <w:p>
      <w:pPr>
        <w:pStyle w:val="Heading2"/>
      </w:pPr>
      <w:r>
        <w:t xml:space="preserve">Why Nix was replaced, in their words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Store hashes leaked upward</w:t>
      </w:r>
      <w:r>
        <w:t xml:space="preserve"> </w:t>
      </w:r>
      <w:r>
        <w:t xml:space="preserve">through CMake, qmake and Python virtualenvs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Garbage collection was destructive</w:t>
      </w:r>
      <w:r>
        <w:t xml:space="preserve"> </w:t>
      </w:r>
      <w:r>
        <w:t xml:space="preserve">- the feature, from the other side</w:t>
      </w:r>
    </w:p>
    <w:p>
      <w:pPr>
        <w:pStyle w:val="BlockText"/>
      </w:pPr>
      <w:r>
        <w:t xml:space="preserve">Gentoo Prefix: no symlinks, no store leak, minimal solution.</w:t>
      </w:r>
    </w:p>
    <w:p>
      <w:pPr>
        <w:pStyle w:val="BlockText"/>
      </w:pPr>
      <w:r>
        <w:t xml:space="preserve">— Digital Research Alliance of Canada, on the 2020 migration</w:t>
      </w:r>
    </w:p>
    <w:bookmarkEnd w:id="59"/>
    <w:bookmarkStart w:id="60" w:name="what-it-actually-costs-to-run-a-prefix"/>
    <w:p>
      <w:pPr>
        <w:pStyle w:val="Heading2"/>
      </w:pPr>
      <w:r>
        <w:t xml:space="preserve">What it actually costs to run a prefix</w:t>
      </w:r>
    </w:p>
    <w:p>
      <w:pPr>
        <w:pStyle w:val="Compact"/>
        <w:numPr>
          <w:ilvl w:val="0"/>
          <w:numId w:val="1010"/>
        </w:numPr>
      </w:pPr>
      <w:r>
        <w:t xml:space="preserve">Downloaded binaries need</w:t>
      </w:r>
      <w:r>
        <w:t xml:space="preserve"> </w:t>
      </w:r>
      <w:r>
        <w:rPr>
          <w:rStyle w:val="VerbatimChar"/>
        </w:rPr>
        <w:t xml:space="preserve">patchelf --set-interpreter</w:t>
      </w:r>
    </w:p>
    <w:p>
      <w:pPr>
        <w:pStyle w:val="Compact"/>
        <w:numPr>
          <w:ilvl w:val="0"/>
          <w:numId w:val="1010"/>
        </w:numPr>
      </w:pPr>
      <w:r>
        <w:t xml:space="preserve">A stale</w:t>
      </w:r>
      <w:r>
        <w:t xml:space="preserve"> </w:t>
      </w:r>
      <w:r>
        <w:rPr>
          <w:rStyle w:val="VerbatimChar"/>
        </w:rPr>
        <w:t xml:space="preserve">LD_LIBRARY_PATH=/usr/lib64</w:t>
      </w:r>
      <w:r>
        <w:t xml:space="preserve"> </w:t>
      </w:r>
      <w:r>
        <w:t xml:space="preserve">in a</w:t>
      </w:r>
      <w:r>
        <w:t xml:space="preserve"> </w:t>
      </w:r>
      <w:r>
        <w:rPr>
          <w:rStyle w:val="VerbatimChar"/>
        </w:rPr>
        <w:t xml:space="preserve">.bashrc</w:t>
      </w:r>
      <w:r>
        <w:t xml:space="preserve"> </w:t>
      </w:r>
      <w:r>
        <w:t xml:space="preserve">breaks most tools</w:t>
      </w:r>
    </w:p>
    <w:p>
      <w:pPr>
        <w:pStyle w:val="Compact"/>
        <w:numPr>
          <w:ilvl w:val="0"/>
          <w:numId w:val="1010"/>
        </w:numPr>
      </w:pPr>
      <w:r>
        <w:t xml:space="preserve">Anaconda and Julia ship binaries that do not always work - hence 17,000+ wheels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$EPREFIX/var</w:t>
      </w:r>
      <w:r>
        <w:t xml:space="preserve"> </w:t>
      </w:r>
      <w:r>
        <w:t xml:space="preserve">versus</w:t>
      </w:r>
      <w:r>
        <w:t xml:space="preserve"> </w:t>
      </w:r>
      <w:r>
        <w:rPr>
          <w:rStyle w:val="VerbatimChar"/>
        </w:rPr>
        <w:t xml:space="preserve">/var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who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last</w:t>
      </w:r>
      <w:r>
        <w:t xml:space="preserve"> </w:t>
      </w:r>
      <w:r>
        <w:t xml:space="preserve">read an empty file</w:t>
      </w:r>
    </w:p>
    <w:p>
      <w:pPr>
        <w:pStyle w:val="Compact"/>
        <w:numPr>
          <w:ilvl w:val="0"/>
          <w:numId w:val="1010"/>
        </w:numPr>
      </w:pPr>
      <w:r>
        <w:t xml:space="preserve">One central</w:t>
      </w:r>
      <w:r>
        <w:t xml:space="preserve"> </w:t>
      </w:r>
      <w:r>
        <w:rPr>
          <w:rStyle w:val="VerbatimChar"/>
        </w:rPr>
        <w:t xml:space="preserve">libstdc++</w:t>
      </w:r>
      <w:r>
        <w:t xml:space="preserve">, so GCCcore builds collapse to one module level</w:t>
      </w:r>
    </w:p>
    <w:p>
      <w:pPr>
        <w:pStyle w:val="FirstParagraph"/>
      </w:pPr>
      <w:r>
        <w:rPr>
          <w:i/>
          <w:iCs/>
        </w:rPr>
        <w:t xml:space="preserve">Every site hits these in the same order. That is a much better position than a set nobody has written down.</w:t>
      </w:r>
    </w:p>
    <w:bookmarkEnd w:id="60"/>
    <w:bookmarkStart w:id="64" w:name="easybuild-records-it"/>
    <w:p>
      <w:pPr>
        <w:pStyle w:val="Heading2"/>
      </w:pPr>
      <w:r>
        <w:t xml:space="preserve">EasyBuild records it</w:t>
      </w:r>
    </w:p>
    <w:p>
      <w:pPr>
        <w:pStyle w:val="FirstParagraph"/>
      </w:pPr>
      <w:r>
        <w:drawing>
          <wp:inline>
            <wp:extent cx="5275584" cy="314325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diagrams/fig7-easyconfig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4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easyconfig is copied</w:t>
      </w:r>
      <w:r>
        <w:t xml:space="preserve"> </w:t>
      </w:r>
      <w:r>
        <w:rPr>
          <w:b/>
          <w:bCs/>
        </w:rPr>
        <w:t xml:space="preserve">into</w:t>
      </w:r>
      <w:r>
        <w:t xml:space="preserve"> </w:t>
      </w:r>
      <w:r>
        <w:t xml:space="preserve">the installation. Provenance is a by-product, not a chore.</w:t>
      </w:r>
    </w:p>
    <w:bookmarkEnd w:id="64"/>
    <w:bookmarkStart w:id="68" w:name="lmod-makes-it-choosable"/>
    <w:p>
      <w:pPr>
        <w:pStyle w:val="Heading2"/>
      </w:pPr>
      <w:r>
        <w:t xml:space="preserve">Lmod makes it choosable</w:t>
      </w:r>
    </w:p>
    <w:p>
      <w:pPr>
        <w:pStyle w:val="FirstParagraph"/>
      </w:pPr>
      <w:r>
        <w:drawing>
          <wp:inline>
            <wp:extent cx="3995073" cy="3619500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diagrams/fig8-lmod-hierarchy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073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8"/>
    <w:bookmarkStart w:id="69" w:name="X78ab543dc69f541cc341029a4ff96e6bbb0bab9"/>
    <w:p>
      <w:pPr>
        <w:pStyle w:val="Heading2"/>
      </w:pPr>
      <w:r>
        <w:t xml:space="preserve">Architecture belongs in the hierarchy, not the name</w:t>
      </w:r>
    </w:p>
    <w:p>
      <w:pPr>
        <w:pStyle w:val="SourceCode"/>
      </w:pPr>
      <w:r>
        <w:rPr>
          <w:rStyle w:val="VerbatimChar"/>
        </w:rPr>
        <w:t xml:space="preserve">$ module load fftw</w:t>
      </w:r>
      <w:r>
        <w:br/>
      </w:r>
      <w:r>
        <w:rPr>
          <w:rStyle w:val="VerbatimChar"/>
        </w:rPr>
        <w:t xml:space="preserve">Lmod has detected the following error: These module(s) exist but cannot be</w:t>
      </w:r>
      <w:r>
        <w:br/>
      </w:r>
      <w:r>
        <w:rPr>
          <w:rStyle w:val="VerbatimChar"/>
        </w:rPr>
        <w:t xml:space="preserve">loaded as requested: "fftw"</w:t>
      </w:r>
      <w:r>
        <w:br/>
      </w:r>
      <w:r>
        <w:br/>
      </w:r>
      <w:r>
        <w:rPr>
          <w:rStyle w:val="VerbatimChar"/>
        </w:rPr>
        <w:t xml:space="preserve">$ module spider fftw/3.3.10</w:t>
      </w:r>
      <w:r>
        <w:br/>
      </w:r>
      <w:r>
        <w:rPr>
          <w:rStyle w:val="VerbatimChar"/>
        </w:rPr>
        <w:t xml:space="preserve">  You will need to load all module(s) on one of the lines below first:</w:t>
      </w:r>
      <w:r>
        <w:br/>
      </w:r>
      <w:r>
        <w:rPr>
          <w:rStyle w:val="VerbatimChar"/>
        </w:rPr>
        <w:t xml:space="preserve">     gcc/12.3  openmpi/4.1.5</w:t>
      </w:r>
      <w:r>
        <w:br/>
      </w:r>
      <w:r>
        <w:br/>
      </w:r>
      <w:r>
        <w:rPr>
          <w:rStyle w:val="VerbatimChar"/>
        </w:rPr>
        <w:t xml:space="preserve">$ module load gcc/12.3 openmpi/4.1.5 fftw/3.3.10</w:t>
      </w:r>
    </w:p>
    <w:p>
      <w:pPr>
        <w:pStyle w:val="FirstParagraph"/>
      </w:pPr>
      <w:r>
        <w:t xml:space="preserve">~1,000 applications × 4 CPU generations × 4 GPU generations = 10,000+ permutations. The user sees</w:t>
      </w:r>
      <w:r>
        <w:t xml:space="preserve"> </w:t>
      </w:r>
      <w:r>
        <w:rPr>
          <w:rStyle w:val="VerbatimChar"/>
        </w:rPr>
        <w:t xml:space="preserve">fftw/3.3.10</w:t>
      </w:r>
      <w:r>
        <w:t xml:space="preserve">.</w:t>
      </w:r>
    </w:p>
    <w:bookmarkEnd w:id="69"/>
    <w:bookmarkStart w:id="70" w:name="the-canadian-stack-in-numbers"/>
    <w:p>
      <w:pPr>
        <w:pStyle w:val="Heading2"/>
      </w:pPr>
      <w:r>
        <w:t xml:space="preserve">The Canadian stack, in numbers</w:t>
      </w:r>
    </w:p>
    <w:p>
      <w:pPr>
        <w:pStyle w:val="Compact"/>
        <w:numPr>
          <w:ilvl w:val="0"/>
          <w:numId w:val="1011"/>
        </w:numPr>
      </w:pPr>
      <w:r>
        <w:t xml:space="preserve">5 regional consortia, 38 institutions, ~18,000 accounts, 6 national systems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~1,000</w:t>
      </w:r>
      <w:r>
        <w:t xml:space="preserve"> </w:t>
      </w:r>
      <w:r>
        <w:t xml:space="preserve">scientific applications,</w:t>
      </w:r>
      <w:r>
        <w:t xml:space="preserve"> </w:t>
      </w:r>
      <w:r>
        <w:rPr>
          <w:b/>
          <w:bCs/>
        </w:rPr>
        <w:t xml:space="preserve">10,000+</w:t>
      </w:r>
      <w:r>
        <w:t xml:space="preserve"> </w:t>
      </w:r>
      <w:r>
        <w:t xml:space="preserve">version/CPU/toolchain permutations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17,000+</w:t>
      </w:r>
      <w:r>
        <w:t xml:space="preserve"> </w:t>
      </w:r>
      <w:r>
        <w:t xml:space="preserve">Python wheels</w:t>
      </w:r>
    </w:p>
    <w:p>
      <w:pPr>
        <w:pStyle w:val="Compact"/>
        <w:numPr>
          <w:ilvl w:val="0"/>
          <w:numId w:val="1011"/>
        </w:numPr>
      </w:pPr>
      <w:r>
        <w:t xml:space="preserve">One catalogue, one scheduler, one way of installing things - since</w:t>
      </w:r>
      <w:r>
        <w:t xml:space="preserve"> </w:t>
      </w:r>
      <w:r>
        <w:rPr>
          <w:b/>
          <w:bCs/>
        </w:rPr>
        <w:t xml:space="preserve">2017</w:t>
      </w:r>
    </w:p>
    <w:bookmarkEnd w:id="70"/>
    <w:bookmarkStart w:id="71" w:name="getting-in"/>
    <w:p>
      <w:pPr>
        <w:pStyle w:val="Heading2"/>
      </w:pPr>
      <w:r>
        <w:t xml:space="preserve">Getting in</w:t>
      </w:r>
    </w:p>
    <w:p>
      <w:pPr>
        <w:pStyle w:val="SourceCode"/>
      </w:pPr>
      <w:r>
        <w:rPr>
          <w:rStyle w:val="VerbatimChar"/>
        </w:rPr>
        <w:t xml:space="preserve"># the Alliance stack - public, mountable anywhere</w:t>
      </w:r>
      <w:r>
        <w:br/>
      </w:r>
      <w:r>
        <w:rPr>
          <w:rStyle w:val="VerbatimChar"/>
        </w:rPr>
        <w:t xml:space="preserve">source /cvmfs/soft.computecanada.ca/config/profile/bash.sh</w:t>
      </w:r>
      <w:r>
        <w:br/>
      </w:r>
      <w:r>
        <w:rPr>
          <w:rStyle w:val="VerbatimChar"/>
        </w:rPr>
        <w:t xml:space="preserve">module load StdEnv/2023</w:t>
      </w:r>
      <w:r>
        <w:br/>
      </w:r>
      <w:r>
        <w:br/>
      </w:r>
      <w:r>
        <w:rPr>
          <w:rStyle w:val="VerbatimChar"/>
        </w:rPr>
        <w:t xml:space="preserve"># EESSI - in the default CernVM-FS config since November 2023</w:t>
      </w:r>
      <w:r>
        <w:br/>
      </w:r>
      <w:r>
        <w:rPr>
          <w:rStyle w:val="VerbatimChar"/>
        </w:rPr>
        <w:t xml:space="preserve">source /cvmfs/software.eessi.io/versions/2023.06/init/bash</w:t>
      </w:r>
      <w:r>
        <w:br/>
      </w:r>
      <w:r>
        <w:rPr>
          <w:rStyle w:val="VerbatimChar"/>
        </w:rPr>
        <w:t xml:space="preserve">module load R/4.3.2-gfbf-2023a</w:t>
      </w:r>
    </w:p>
    <w:bookmarkEnd w:id="71"/>
    <w:bookmarkStart w:id="72" w:name="old-environments-stay-mountable"/>
    <w:p>
      <w:pPr>
        <w:pStyle w:val="Heading2"/>
      </w:pPr>
      <w:r>
        <w:t xml:space="preserve">Old environments stay mountable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Environment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Compiler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MPI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changed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StdEnv/2016.4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GCC 5.4 / Intel 2016.4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OMPI 2.1.1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First unified environment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StdEnv/2018.3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GCC 7.3 / Intel 2018.3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OMPI 3.1.2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First AVX-512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StdEnv/2020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GCC 9.3 / Intel 2020.1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OMPI 4.0.3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Nix → Gentoo Prefix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StdEnv/2023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GCC 12.3 / Intel 2023.1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OMPI 4.1.5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GCC default; min AVX2; FlexiBLAS; CUDA 12</w:t>
            </w:r>
          </w:p>
        </w:tc>
      </w:tr>
    </w:tbl>
    <w:bookmarkEnd w:id="72"/>
    <w:bookmarkStart w:id="76" w:name="nothing-is-promoted-by-being-edited"/>
    <w:p>
      <w:pPr>
        <w:pStyle w:val="Heading2"/>
      </w:pPr>
      <w:r>
        <w:t xml:space="preserve">Nothing is promoted by being edited</w:t>
      </w:r>
    </w:p>
    <w:p>
      <w:pPr>
        <w:pStyle w:val="FirstParagraph"/>
      </w:pPr>
      <w:r>
        <w:drawing>
          <wp:inline>
            <wp:extent cx="1979636" cy="38100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diagrams/fig9-promotion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636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Already a qualification pipeline, whether or not anyone calls it one.</w:t>
      </w:r>
    </w:p>
    <w:bookmarkEnd w:id="76"/>
    <w:bookmarkStart w:id="77" w:name="eessi-the-same-architecture-new-hardware"/>
    <w:p>
      <w:pPr>
        <w:pStyle w:val="Heading2"/>
      </w:pPr>
      <w:r>
        <w:t xml:space="preserve">EESSI: the same architecture, new hardware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Architecture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x86_64 / AMD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zen2, zen3, zen4, zen5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x86_64 / Intel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haswell, skylake_avx512, cascadelake, icelake, sapphirerapids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aarch64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neoverse_n1, neoverse_v1, a64fx, nvidia/grace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riscv64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separate development repository</w:t>
            </w:r>
          </w:p>
        </w:tc>
      </w:tr>
    </w:tbl>
    <w:p>
      <w:pPr>
        <w:pStyle w:val="BodyText"/>
      </w:pPr>
      <w:r>
        <w:t xml:space="preserve">Validated with a</w:t>
      </w:r>
      <w:r>
        <w:t xml:space="preserve"> </w:t>
      </w:r>
      <w:r>
        <w:rPr>
          <w:b/>
          <w:bCs/>
        </w:rPr>
        <w:t xml:space="preserve">ReFrame</w:t>
      </w:r>
      <w:r>
        <w:t xml:space="preserve"> </w:t>
      </w:r>
      <w:r>
        <w:t xml:space="preserve">test suite a site runs against its own mount.</w:t>
      </w:r>
    </w:p>
    <w:bookmarkEnd w:id="77"/>
    <w:bookmarkStart w:id="81" w:name="X09855c13dfda21ce06f34d3f913772795dba07f"/>
    <w:p>
      <w:pPr>
        <w:pStyle w:val="Heading2"/>
      </w:pPr>
      <w:r>
        <w:t xml:space="preserve">The tree carries all of them; the machine picks</w:t>
      </w:r>
    </w:p>
    <w:p>
      <w:pPr>
        <w:pStyle w:val="FirstParagraph"/>
      </w:pPr>
      <w:r>
        <w:drawing>
          <wp:inline>
            <wp:extent cx="5334000" cy="2272639"/>
            <wp:effectExtent b="0" l="0" r="0" t="0"/>
            <wp:docPr descr="" title="" id="79" name="Picture"/>
            <a:graphic>
              <a:graphicData uri="http://schemas.openxmlformats.org/drawingml/2006/picture">
                <pic:pic>
                  <pic:nvPicPr>
                    <pic:cNvPr descr="diagrams/fig10-microarch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2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“</w:t>
      </w:r>
      <w:r>
        <w:t xml:space="preserve">We moved to Arm</w:t>
      </w:r>
      <w:r>
        <w:t xml:space="preserve">”</w:t>
      </w:r>
      <w:r>
        <w:t xml:space="preserve"> </w:t>
      </w:r>
      <w:r>
        <w:t xml:space="preserve">stops being a recompile and a revalidation.</w:t>
      </w:r>
    </w:p>
    <w:bookmarkEnd w:id="81"/>
    <w:bookmarkStart w:id="85" w:name="the-seam-host-injections"/>
    <w:p>
      <w:pPr>
        <w:pStyle w:val="Heading2"/>
      </w:pPr>
      <w:r>
        <w:t xml:space="preserve">The seam: host injections</w:t>
      </w:r>
    </w:p>
    <w:p>
      <w:pPr>
        <w:pStyle w:val="FirstParagraph"/>
      </w:pPr>
      <w:r>
        <w:drawing>
          <wp:inline>
            <wp:extent cx="4421058" cy="314325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diagrams/fig11-host-injections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058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CUDA’s licence permits redistributing</w:t>
      </w:r>
      <w:r>
        <w:t xml:space="preserve"> </w:t>
      </w:r>
      <w:r>
        <w:rPr>
          <w:b/>
          <w:bCs/>
        </w:rPr>
        <w:t xml:space="preserve">runtime libraries only</w:t>
      </w:r>
      <w:r>
        <w:t xml:space="preserve"> </w:t>
      </w:r>
      <w:r>
        <w:t xml:space="preserve">- so</w:t>
      </w:r>
      <w:r>
        <w:t xml:space="preserve"> </w:t>
      </w:r>
      <w:r>
        <w:rPr>
          <w:rStyle w:val="VerbatimChar"/>
        </w:rPr>
        <w:t xml:space="preserve">nvcc</w:t>
      </w:r>
      <w:r>
        <w:t xml:space="preserve"> </w:t>
      </w:r>
      <w:r>
        <w:t xml:space="preserve">is a symlink into a local SDK.</w:t>
      </w:r>
    </w:p>
    <w:bookmarkEnd w:id="85"/>
    <w:bookmarkStart w:id="86" w:name="and-the-influence-now-runs-both-ways"/>
    <w:p>
      <w:pPr>
        <w:pStyle w:val="Heading2"/>
      </w:pPr>
      <w:r>
        <w:t xml:space="preserve">…and the influence now runs both ways</w:t>
      </w:r>
    </w:p>
    <w:p>
      <w:pPr>
        <w:pStyle w:val="Compact"/>
        <w:numPr>
          <w:ilvl w:val="0"/>
          <w:numId w:val="1012"/>
        </w:numPr>
      </w:pPr>
      <w:r>
        <w:t xml:space="preserve">The Alliance’s Gentoo Prefix bootstrap is based on</w:t>
      </w:r>
      <w:r>
        <w:t xml:space="preserve"> </w:t>
      </w:r>
      <w:r>
        <w:rPr>
          <w:b/>
          <w:bCs/>
        </w:rPr>
        <w:t xml:space="preserve">EESSI’s</w:t>
      </w:r>
      <w:r>
        <w:t xml:space="preserve"> </w:t>
      </w:r>
      <w:r>
        <w:t xml:space="preserve">Ansible implementation</w:t>
      </w:r>
    </w:p>
    <w:p>
      <w:pPr>
        <w:pStyle w:val="Compact"/>
        <w:numPr>
          <w:ilvl w:val="0"/>
          <w:numId w:val="1012"/>
        </w:numPr>
      </w:pPr>
      <w:r>
        <w:t xml:space="preserve">The Alliance has adopted</w:t>
      </w:r>
      <w:r>
        <w:t xml:space="preserve"> </w:t>
      </w:r>
      <w:r>
        <w:rPr>
          <w:b/>
          <w:bCs/>
        </w:rPr>
        <w:t xml:space="preserve">EESSI’s</w:t>
      </w:r>
      <w:r>
        <w:t xml:space="preserve"> </w:t>
      </w:r>
      <w:r>
        <w:t xml:space="preserve">variant-symlink approach for CUDA driver libraries</w:t>
      </w:r>
    </w:p>
    <w:p>
      <w:pPr>
        <w:pStyle w:val="FirstParagraph"/>
      </w:pPr>
      <w:r>
        <w:rPr>
          <w:i/>
          <w:iCs/>
        </w:rPr>
        <w:t xml:space="preserve">The method has transferred between programmes that share no staff, funding or hardware - and is now transferring back.</w:t>
      </w:r>
    </w:p>
    <w:bookmarkEnd w:id="86"/>
    <w:bookmarkEnd w:id="87"/>
    <w:bookmarkStart w:id="93" w:name="part-iv---running-it"/>
    <w:p>
      <w:pPr>
        <w:pStyle w:val="Heading1"/>
      </w:pPr>
      <w:r>
        <w:t xml:space="preserve">Part IV - Running it</w:t>
      </w:r>
    </w:p>
    <w:bookmarkStart w:id="88" w:name="what-you-actually-stand-up-in-order"/>
    <w:p>
      <w:pPr>
        <w:pStyle w:val="Heading2"/>
      </w:pPr>
      <w:r>
        <w:t xml:space="preserve">What you actually stand up, in order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Client</w:t>
      </w:r>
      <w:r>
        <w:t xml:space="preserve"> </w:t>
      </w:r>
      <w:r>
        <w:t xml:space="preserve">- a package, a public key, a config file. autofs mounts on demand.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Two proxies</w:t>
      </w:r>
      <w:r>
        <w:t xml:space="preserve">, once you have nodes - one per 100-500 workers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A private Stratum 1</w:t>
      </w:r>
      <w:r>
        <w:t xml:space="preserve">, if a lost link would stop work - one replica, one Apache, one cron job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Diskless nodes</w:t>
      </w:r>
      <w:r>
        <w:t xml:space="preserve"> </w:t>
      </w:r>
      <w:r>
        <w:t xml:space="preserve">- a loopback file on the shared filesystem, sized ~15% above the cache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Monitor two things</w:t>
      </w:r>
      <w:r>
        <w:t xml:space="preserve"> </w:t>
      </w:r>
      <w:r>
        <w:t xml:space="preserve">- cache cleanup frequency, and client revision versus Stratum 1</w:t>
      </w:r>
    </w:p>
    <w:bookmarkEnd w:id="88"/>
    <w:bookmarkStart w:id="89" w:name="the-four-error-messages-decoded"/>
    <w:p>
      <w:pPr>
        <w:pStyle w:val="Heading2"/>
      </w:pPr>
      <w:r>
        <w:t xml:space="preserve">The four error messages, decoded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What it says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means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Too many levels of symbolic links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Mount namespace not shared. Almost always a container.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No such file or directory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catalog could not load. The reason is in the syslog.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Transport endpoint is not connected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client died and the watchdog did not restart it.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Software caused connection abort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kernel cut the FUSE connection. Remount.</w:t>
            </w:r>
          </w:p>
        </w:tc>
      </w:tr>
    </w:tbl>
    <w:bookmarkEnd w:id="89"/>
    <w:bookmarkStart w:id="90" w:name="five-commands-worth-knowing-first"/>
    <w:p>
      <w:pPr>
        <w:pStyle w:val="Heading2"/>
      </w:pPr>
      <w:r>
        <w:t xml:space="preserve">Five commands worth knowing first</w:t>
      </w:r>
    </w:p>
    <w:p>
      <w:pPr>
        <w:pStyle w:val="SourceCode"/>
      </w:pPr>
      <w:r>
        <w:rPr>
          <w:rStyle w:val="VerbatimChar"/>
        </w:rPr>
        <w:t xml:space="preserve">cvmfs_config probe software.eessi.io       # is it reachable at all</w:t>
      </w:r>
      <w:r>
        <w:br/>
      </w:r>
      <w:r>
        <w:rPr>
          <w:rStyle w:val="VerbatimChar"/>
        </w:rPr>
        <w:t xml:space="preserve">cvmfs_config stat -v software.eessi.io     # revision, cache use, hit rate</w:t>
      </w:r>
      <w:r>
        <w:br/>
      </w:r>
      <w:r>
        <w:rPr>
          <w:rStyle w:val="VerbatimChar"/>
        </w:rPr>
        <w:t xml:space="preserve">cvmfs_config showconfig software.eessi.io  # what it thinks it was told</w:t>
      </w:r>
      <w:r>
        <w:br/>
      </w:r>
      <w:r>
        <w:rPr>
          <w:rStyle w:val="VerbatimChar"/>
        </w:rPr>
        <w:t xml:space="preserve">cvmfs_talk -i software.eessi.io ncleanup24 # cache evictions in 24h</w:t>
      </w:r>
      <w:r>
        <w:br/>
      </w:r>
      <w:r>
        <w:rPr>
          <w:rStyle w:val="VerbatimChar"/>
        </w:rPr>
        <w:t xml:space="preserve">sudo cvmfs_config wipecache                # last resort, not first</w:t>
      </w:r>
    </w:p>
    <w:bookmarkEnd w:id="90"/>
    <w:bookmarkStart w:id="91" w:name="the-boundary---what-this-does-not-solve"/>
    <w:p>
      <w:pPr>
        <w:pStyle w:val="Heading2"/>
      </w:pPr>
      <w:r>
        <w:t xml:space="preserve">The boundary - what this does not solve</w:t>
      </w:r>
    </w:p>
    <w:p>
      <w:pPr>
        <w:pStyle w:val="Compact"/>
        <w:numPr>
          <w:ilvl w:val="0"/>
          <w:numId w:val="1014"/>
        </w:numPr>
      </w:pPr>
      <w:r>
        <w:t xml:space="preserve">Updates are visible</w:t>
      </w:r>
      <w:r>
        <w:t xml:space="preserve"> </w:t>
      </w:r>
      <w:r>
        <w:rPr>
          <w:b/>
          <w:bCs/>
        </w:rPr>
        <w:t xml:space="preserve">within minutes</w:t>
      </w:r>
      <w:r>
        <w:t xml:space="preserve">, not instantly</w:t>
      </w:r>
    </w:p>
    <w:p>
      <w:pPr>
        <w:pStyle w:val="Compact"/>
        <w:numPr>
          <w:ilvl w:val="0"/>
          <w:numId w:val="1014"/>
        </w:numPr>
      </w:pPr>
      <w:r>
        <w:t xml:space="preserve">The signing</w:t>
      </w:r>
      <w:r>
        <w:t xml:space="preserve"> </w:t>
      </w:r>
      <w:r>
        <w:rPr>
          <w:b/>
          <w:bCs/>
        </w:rPr>
        <w:t xml:space="preserve">whitelist expires</w:t>
      </w:r>
      <w:r>
        <w:t xml:space="preserve"> </w:t>
      </w:r>
      <w:r>
        <w:t xml:space="preserve">- an availability dependency on the runbook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Unprivileged mounting</w:t>
      </w:r>
      <w:r>
        <w:t xml:space="preserve"> </w:t>
      </w:r>
      <w:r>
        <w:t xml:space="preserve">works, but each process gets its own cache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EasyBuild does not sandbox</w:t>
      </w:r>
      <w:r>
        <w:t xml:space="preserve"> </w:t>
      </w:r>
      <w:r>
        <w:t xml:space="preserve">- bit-for-bit is a target, not a guarantee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Licensed software</w:t>
      </w:r>
      <w:r>
        <w:t xml:space="preserve"> </w:t>
      </w:r>
      <w:r>
        <w:t xml:space="preserve">does not fit the model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Derivation proves construction, never meaning</w:t>
      </w:r>
    </w:p>
    <w:bookmarkEnd w:id="91"/>
    <w:bookmarkStart w:id="92" w:name="the-one-that-catches-people"/>
    <w:p>
      <w:pPr>
        <w:pStyle w:val="Heading2"/>
      </w:pPr>
      <w:r>
        <w:t xml:space="preserve">The one that catches people</w:t>
      </w:r>
    </w:p>
    <w:p>
      <w:pPr>
        <w:pStyle w:val="FirstParagraph"/>
      </w:pPr>
      <w:r>
        <w:t xml:space="preserve">If your nodes have no local disk, do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run one client and export it over NFS.</w:t>
      </w:r>
    </w:p>
    <w:p>
      <w:pPr>
        <w:pStyle w:val="BodyText"/>
      </w:pPr>
      <w:r>
        <w:t xml:space="preserve">It can be made to work. It is slow. It generates more operational problems than any other configuration in the deployment guidance.</w:t>
      </w:r>
    </w:p>
    <w:p>
      <w:pPr>
        <w:pStyle w:val="BodyText"/>
      </w:pPr>
      <w:r>
        <w:t xml:space="preserve">Use a</w:t>
      </w:r>
      <w:r>
        <w:t xml:space="preserve"> </w:t>
      </w:r>
      <w:r>
        <w:rPr>
          <w:b/>
          <w:bCs/>
        </w:rPr>
        <w:t xml:space="preserve">loopback cache file</w:t>
      </w:r>
      <w:r>
        <w:t xml:space="preserve"> </w:t>
      </w:r>
      <w:r>
        <w:t xml:space="preserve">on the shared filesystem instead.</w:t>
      </w:r>
    </w:p>
    <w:bookmarkEnd w:id="92"/>
    <w:bookmarkEnd w:id="93"/>
    <w:bookmarkStart w:id="101" w:name="part-v---what-it-settles"/>
    <w:p>
      <w:pPr>
        <w:pStyle w:val="Heading1"/>
      </w:pPr>
      <w:r>
        <w:t xml:space="preserve">Part V - What it settles</w:t>
      </w:r>
    </w:p>
    <w:bookmarkStart w:id="97" w:name="four-questions-that-stop-being-open"/>
    <w:p>
      <w:pPr>
        <w:pStyle w:val="Heading2"/>
      </w:pPr>
      <w:r>
        <w:t xml:space="preserve">Four questions that stop being open</w:t>
      </w:r>
    </w:p>
    <w:p>
      <w:pPr>
        <w:pStyle w:val="FirstParagraph"/>
      </w:pPr>
      <w:r>
        <w:drawing>
          <wp:inline>
            <wp:extent cx="3387666" cy="3619500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diagrams/fig12-one-answer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666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7"/>
    <w:bookmarkStart w:id="98" w:name="consequences-not-benefits"/>
    <w:p>
      <w:pPr>
        <w:pStyle w:val="Heading2"/>
      </w:pPr>
      <w:r>
        <w:t xml:space="preserve">Consequences, not benefits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“</w:t>
      </w:r>
      <w:r>
        <w:rPr>
          <w:b/>
          <w:bCs/>
        </w:rPr>
        <w:t xml:space="preserve">Which version is this?</w:t>
      </w:r>
      <w:r>
        <w:rPr>
          <w:b/>
          <w:bCs/>
        </w:rPr>
        <w:t xml:space="preserve">”</w:t>
      </w:r>
      <w:r>
        <w:rPr>
          <w:b/>
          <w:bCs/>
        </w:rPr>
        <w:t xml:space="preserve"> </w:t>
      </w:r>
      <w:r>
        <w:rPr>
          <w:b/>
          <w:bCs/>
        </w:rPr>
        <w:t xml:space="preserve">has one answer</w:t>
      </w:r>
      <w:r>
        <w:t xml:space="preserve"> </w:t>
      </w:r>
      <w:r>
        <w:t xml:space="preserve">- same source, same compiler, same BLAS, same bytes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Approval attaches once, on the trunk</w:t>
      </w:r>
      <w:r>
        <w:t xml:space="preserve"> </w:t>
      </w:r>
      <w:r>
        <w:t xml:space="preserve">- a second approval path is two things to keep in agreement forever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Reproducing an old result is a mount, not a rebuild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Changing architecture stops being a project</w:t>
      </w:r>
      <w:r>
        <w:t xml:space="preserve"> </w:t>
      </w:r>
      <w:r>
        <w:t xml:space="preserve">- Arm is the same line resolving elsewhere</w:t>
      </w:r>
    </w:p>
    <w:bookmarkEnd w:id="98"/>
    <w:bookmarkStart w:id="100" w:name="where-this-leaves-us"/>
    <w:p>
      <w:pPr>
        <w:pStyle w:val="Heading2"/>
      </w:pPr>
      <w:r>
        <w:t xml:space="preserve">Where this leaves us</w:t>
      </w:r>
    </w:p>
    <w:p>
      <w:pPr>
        <w:pStyle w:val="FirstParagraph"/>
      </w:pPr>
      <w:r>
        <w:t xml:space="preserve">None of this is novel and all of it is in production, at national scale, for around eighteen thousand researchers.</w:t>
      </w:r>
    </w:p>
    <w:p>
      <w:pPr>
        <w:pStyle w:val="BodyText"/>
      </w:pPr>
      <w:r>
        <w:t xml:space="preserve">The useful conversation is not whether the model works - two national programmes have answered that - but</w:t>
      </w:r>
      <w:r>
        <w:t xml:space="preserve"> </w:t>
      </w:r>
      <w:r>
        <w:rPr>
          <w:b/>
          <w:bCs/>
        </w:rPr>
        <w:t xml:space="preserve">which parts of it fit the estate you already have</w:t>
      </w:r>
      <w:r>
        <w:t xml:space="preserve">.</w:t>
      </w:r>
    </w:p>
    <w:p>
      <w:pPr>
        <w:pStyle w:val="BodyText"/>
      </w:pPr>
      <w:hyperlink r:id="rId99">
        <w:r>
          <w:rPr>
            <w:rStyle w:val="Hyperlink"/>
          </w:rPr>
          <w:t xml:space="preserve">https://what.ndexr.io</w:t>
        </w:r>
      </w:hyperlink>
    </w:p>
    <w:bookmarkEnd w:id="100"/>
    <w:bookmarkEnd w:id="10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2" Target="media/rId22.png" /><Relationship Type="http://schemas.openxmlformats.org/officeDocument/2006/relationships/image" Id="rId78" Target="media/rId78.png" /><Relationship Type="http://schemas.openxmlformats.org/officeDocument/2006/relationships/image" Id="rId82" Target="media/rId82.png" /><Relationship Type="http://schemas.openxmlformats.org/officeDocument/2006/relationships/image" Id="rId94" Target="media/rId94.png" /><Relationship Type="http://schemas.openxmlformats.org/officeDocument/2006/relationships/image" Id="rId31" Target="media/rId31.png" /><Relationship Type="http://schemas.openxmlformats.org/officeDocument/2006/relationships/image" Id="rId37" Target="media/rId37.png" /><Relationship Type="http://schemas.openxmlformats.org/officeDocument/2006/relationships/image" Id="rId45" Target="media/rId45.png" /><Relationship Type="http://schemas.openxmlformats.org/officeDocument/2006/relationships/image" Id="rId50" Target="media/rId50.png" /><Relationship Type="http://schemas.openxmlformats.org/officeDocument/2006/relationships/image" Id="rId55" Target="media/rId55.png" /><Relationship Type="http://schemas.openxmlformats.org/officeDocument/2006/relationships/image" Id="rId61" Target="media/rId61.png" /><Relationship Type="http://schemas.openxmlformats.org/officeDocument/2006/relationships/image" Id="rId65" Target="media/rId65.png" /><Relationship Type="http://schemas.openxmlformats.org/officeDocument/2006/relationships/image" Id="rId73" Target="media/rId73.png" /><Relationship Type="http://schemas.openxmlformats.org/officeDocument/2006/relationships/hyperlink" Id="rId99" Target="https://what.ndexr.i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9" Target="https://what.ndexr.i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Compiled Once. Published Once. Mounted Everywhere.</dc:title>
  <dc:creator>ndexr.io</dc:creator>
  <cp:keywords/>
  <dcterms:created xsi:type="dcterms:W3CDTF">2026-08-09T20:44:54Z</dcterms:created>
  <dcterms:modified xsi:type="dcterms:W3CDTF">2026-08-09T20:44:54Z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2026-08-08</vt:lpwstr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CernVM-FS, the Compute Canada model, and EESSI - how scientific software actually reaches the machines that run it</vt:lpwstr>
  </property>
  <property fmtid="{D5CDD505-2E9C-101B-9397-08002B2CF9AE}" pid="11" name="toc-title">
    <vt:lpwstr>Table of contents</vt:lpwstr>
  </property>
</Properties>
</file>